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jpeg" ContentType="image/jpeg"/>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2.xml.rels" ContentType="application/vnd.openxmlformats-package.relationships+xml"/>
  <Override PartName="/word/_rels/header3.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jc w:val="center"/>
        <w:rPr>
          <w:rFonts w:ascii="Verdana" w:hAnsi="Verdana"/>
          <w:sz w:val="20"/>
          <w:szCs w:val="20"/>
        </w:rPr>
      </w:pPr>
      <w:r>
        <w:rPr>
          <w:rFonts w:ascii="Verdana" w:hAnsi="Verdana"/>
          <w:b/>
          <w:bCs/>
          <w:sz w:val="20"/>
          <w:szCs w:val="20"/>
        </w:rPr>
        <w:t>TERMO DE REFERÊNCIA – LEI 14.133/21</w:t>
      </w:r>
    </w:p>
    <w:p>
      <w:pPr>
        <w:pStyle w:val="Normal"/>
        <w:spacing w:lineRule="auto" w:line="240"/>
        <w:jc w:val="center"/>
        <w:rPr>
          <w:rFonts w:ascii="Verdana" w:hAnsi="Verdana" w:cs="Arial"/>
          <w:b/>
          <w:bCs/>
          <w:iCs/>
          <w:color w:val="000000"/>
          <w:sz w:val="20"/>
          <w:szCs w:val="20"/>
        </w:rPr>
      </w:pPr>
      <w:r>
        <w:rPr>
          <w:rFonts w:cs="Arial" w:ascii="Verdana" w:hAnsi="Verdana"/>
          <w:b/>
          <w:bCs/>
          <w:iCs/>
          <w:color w:val="000000"/>
          <w:sz w:val="20"/>
          <w:szCs w:val="20"/>
        </w:rPr>
      </w:r>
    </w:p>
    <w:p>
      <w:pPr>
        <w:pStyle w:val="Normal"/>
        <w:spacing w:lineRule="auto" w:line="240"/>
        <w:jc w:val="center"/>
        <w:rPr>
          <w:rFonts w:ascii="Verdana" w:hAnsi="Verdana"/>
          <w:sz w:val="20"/>
          <w:szCs w:val="20"/>
        </w:rPr>
      </w:pPr>
      <w:r>
        <w:rPr>
          <w:rFonts w:eastAsia="Times New Roman" w:cs="Arial" w:ascii="Verdana" w:hAnsi="Verdana"/>
          <w:b/>
          <w:bCs/>
          <w:iCs/>
          <w:color w:val="000000"/>
          <w:kern w:val="0"/>
          <w:sz w:val="20"/>
          <w:szCs w:val="20"/>
          <w:lang w:val="pt-BR" w:eastAsia="pt-BR" w:bidi="ar-SA"/>
        </w:rPr>
        <w:t>CREDENCIAMENTO DE LEILOEIROS PÚBLICOS OFICIAIS PARA ORGANIZAÇÃO E REALIZAÇÃO DE LEILÕES DE BENS MÓVEIS E IMÓVEIS DESAFETADOS</w:t>
      </w:r>
    </w:p>
    <w:p>
      <w:pPr>
        <w:pStyle w:val="Normal"/>
        <w:spacing w:lineRule="auto" w:line="240"/>
        <w:jc w:val="center"/>
        <w:rPr>
          <w:rFonts w:ascii="Verdana" w:hAnsi="Verdana" w:cs="Arial"/>
          <w:b/>
          <w:bCs/>
          <w:iCs/>
          <w:color w:val="000000"/>
          <w:sz w:val="20"/>
          <w:szCs w:val="20"/>
        </w:rPr>
      </w:pPr>
      <w:r>
        <w:rPr>
          <w:rFonts w:cs="Arial" w:ascii="Verdana" w:hAnsi="Verdana"/>
          <w:b/>
          <w:bCs/>
          <w:iCs/>
          <w:color w:val="000000"/>
          <w:sz w:val="20"/>
          <w:szCs w:val="20"/>
        </w:rPr>
      </w:r>
    </w:p>
    <w:p>
      <w:pPr>
        <w:pStyle w:val="Normal"/>
        <w:spacing w:lineRule="auto" w:line="240"/>
        <w:jc w:val="center"/>
        <w:rPr>
          <w:rFonts w:ascii="Verdana" w:hAnsi="Verdana"/>
          <w:sz w:val="20"/>
          <w:szCs w:val="20"/>
        </w:rPr>
      </w:pPr>
      <w:r>
        <w:rPr>
          <w:rFonts w:ascii="Verdana" w:hAnsi="Verdana"/>
          <w:b/>
          <w:bCs/>
          <w:sz w:val="20"/>
          <w:szCs w:val="20"/>
        </w:rPr>
        <w:t xml:space="preserve">Processo Administrativo nº </w:t>
      </w:r>
      <w:r>
        <w:rPr>
          <w:rFonts w:eastAsia="Times New Roman" w:cs="Times New Roman" w:ascii="Verdana" w:hAnsi="Verdana"/>
          <w:b/>
          <w:bCs/>
          <w:color w:val="auto"/>
          <w:kern w:val="0"/>
          <w:sz w:val="20"/>
          <w:szCs w:val="20"/>
          <w:lang w:val="pt-BR" w:eastAsia="pt-BR" w:bidi="ar-SA"/>
        </w:rPr>
        <w:t>005372</w:t>
      </w:r>
      <w:r>
        <w:rPr>
          <w:rFonts w:ascii="Verdana" w:hAnsi="Verdana"/>
          <w:b/>
          <w:bCs/>
          <w:sz w:val="20"/>
          <w:szCs w:val="20"/>
        </w:rPr>
        <w:t>/2025 de 22 de julh</w:t>
      </w:r>
      <w:r>
        <w:rPr>
          <w:rFonts w:eastAsia="Times New Roman" w:cs="Times New Roman" w:ascii="Verdana" w:hAnsi="Verdana"/>
          <w:b/>
          <w:bCs/>
          <w:color w:val="auto"/>
          <w:kern w:val="0"/>
          <w:sz w:val="20"/>
          <w:szCs w:val="20"/>
          <w:lang w:val="pt-BR" w:eastAsia="pt-BR" w:bidi="ar-SA"/>
        </w:rPr>
        <w:t>o</w:t>
      </w:r>
      <w:r>
        <w:rPr>
          <w:rFonts w:ascii="Verdana" w:hAnsi="Verdana"/>
          <w:b/>
          <w:bCs/>
          <w:sz w:val="20"/>
          <w:szCs w:val="20"/>
        </w:rPr>
        <w:t xml:space="preserve"> de 2025 – Secretaria Municipal de </w:t>
      </w:r>
      <w:r>
        <w:rPr>
          <w:rFonts w:eastAsia="Times New Roman" w:cs="Times New Roman" w:ascii="Verdana" w:hAnsi="Verdana"/>
          <w:b/>
          <w:bCs/>
          <w:color w:val="auto"/>
          <w:kern w:val="0"/>
          <w:sz w:val="20"/>
          <w:szCs w:val="20"/>
          <w:lang w:val="pt-BR" w:eastAsia="pt-BR" w:bidi="ar-SA"/>
        </w:rPr>
        <w:t>Administração</w:t>
      </w:r>
    </w:p>
    <w:p>
      <w:pPr>
        <w:pStyle w:val="Normal"/>
        <w:spacing w:lineRule="auto" w:line="240"/>
        <w:jc w:val="both"/>
        <w:rPr>
          <w:rFonts w:ascii="Verdana" w:hAnsi="Verdana"/>
          <w:sz w:val="20"/>
          <w:szCs w:val="20"/>
        </w:rPr>
      </w:pPr>
      <w:r>
        <w:rPr>
          <w:rFonts w:ascii="Verdana" w:hAnsi="Verdana"/>
          <w:sz w:val="20"/>
          <w:szCs w:val="20"/>
        </w:rPr>
      </w:r>
    </w:p>
    <w:p>
      <w:pPr>
        <w:pStyle w:val="Normal"/>
        <w:numPr>
          <w:ilvl w:val="0"/>
          <w:numId w:val="1"/>
        </w:numPr>
        <w:spacing w:lineRule="auto" w:line="240"/>
        <w:jc w:val="both"/>
        <w:rPr>
          <w:rFonts w:ascii="Verdana" w:hAnsi="Verdana"/>
          <w:sz w:val="20"/>
          <w:szCs w:val="20"/>
        </w:rPr>
      </w:pPr>
      <w:r>
        <w:rPr>
          <w:rFonts w:ascii="Verdana" w:hAnsi="Verdana"/>
          <w:b/>
          <w:bCs/>
          <w:sz w:val="20"/>
          <w:szCs w:val="20"/>
        </w:rPr>
        <w:t xml:space="preserve">DAS CONDIÇÕES GERAIS DA CONTRATAÇÃO </w:t>
      </w:r>
    </w:p>
    <w:p>
      <w:pPr>
        <w:pStyle w:val="Normal"/>
        <w:numPr>
          <w:ilvl w:val="1"/>
          <w:numId w:val="2"/>
        </w:numPr>
        <w:tabs>
          <w:tab w:val="clear" w:pos="708"/>
          <w:tab w:val="left" w:pos="567" w:leader="none"/>
        </w:tabs>
        <w:spacing w:lineRule="auto" w:line="240"/>
        <w:ind w:left="0" w:hanging="0"/>
        <w:jc w:val="both"/>
        <w:rPr/>
      </w:pPr>
      <w:r>
        <w:rPr>
          <w:rStyle w:val="Cdigo-fonte"/>
          <w:rFonts w:cs="Arial" w:ascii="Verdana" w:hAnsi="Verdana"/>
          <w:sz w:val="20"/>
          <w:szCs w:val="20"/>
        </w:rPr>
        <w:t xml:space="preserve">Constitui objeto do presente Termo de Referência o CREDENCIAMENTO DE LEILOEIROS PÚBLICOS OFICIAIS PARA ORGANIZAÇÃO E REALIZAÇÃO DE LEILÕES DE BENS MÓVEIS DESAFETADOS (Móveis, veículos e equipamentos) </w:t>
      </w:r>
      <w:r>
        <w:rPr>
          <w:rStyle w:val="Cdigo-fonte"/>
          <w:rFonts w:cs="Arial" w:ascii="Verdana" w:hAnsi="Verdana"/>
          <w:sz w:val="20"/>
          <w:szCs w:val="20"/>
        </w:rPr>
        <w:t>E IMÓVEIS</w:t>
      </w:r>
      <w:r>
        <w:rPr>
          <w:rStyle w:val="Cdigo-fonte"/>
          <w:rFonts w:cs="Arial" w:ascii="Verdana" w:hAnsi="Verdana"/>
          <w:sz w:val="20"/>
          <w:szCs w:val="20"/>
        </w:rPr>
        <w:t xml:space="preserve"> por meio de licitação na modalidade de Leilão Público, sem ônus para a Administração Pública Municipal, de acordo com os critérios e condições estabelecidas</w:t>
      </w:r>
      <w:r>
        <w:rPr>
          <w:rFonts w:ascii="Verdana" w:hAnsi="Verdana"/>
          <w:sz w:val="20"/>
          <w:szCs w:val="20"/>
        </w:rPr>
        <w:t xml:space="preserve">  neste instrumento e no ETP.</w:t>
      </w:r>
    </w:p>
    <w:p>
      <w:pPr>
        <w:pStyle w:val="Normal"/>
        <w:spacing w:lineRule="auto" w:line="240" w:before="0" w:after="0"/>
        <w:jc w:val="both"/>
        <w:rPr>
          <w:rFonts w:ascii="Verdana" w:hAnsi="Verdana" w:cs="Arial"/>
          <w:sz w:val="20"/>
          <w:szCs w:val="20"/>
        </w:rPr>
      </w:pPr>
      <w:r>
        <w:rPr>
          <w:rFonts w:cs="Arial" w:ascii="Verdana" w:hAnsi="Verdana"/>
          <w:sz w:val="20"/>
          <w:szCs w:val="20"/>
        </w:rPr>
      </w:r>
    </w:p>
    <w:tbl>
      <w:tblPr>
        <w:tblW w:w="5000" w:type="pct"/>
        <w:jc w:val="left"/>
        <w:tblInd w:w="28" w:type="dxa"/>
        <w:tblLayout w:type="fixed"/>
        <w:tblCellMar>
          <w:top w:w="28" w:type="dxa"/>
          <w:left w:w="28" w:type="dxa"/>
          <w:bottom w:w="28" w:type="dxa"/>
          <w:right w:w="28" w:type="dxa"/>
        </w:tblCellMar>
      </w:tblPr>
      <w:tblGrid>
        <w:gridCol w:w="767"/>
        <w:gridCol w:w="6199"/>
        <w:gridCol w:w="1600"/>
        <w:gridCol w:w="917"/>
      </w:tblGrid>
      <w:tr>
        <w:trPr/>
        <w:tc>
          <w:tcPr>
            <w:tcW w:w="767" w:type="dxa"/>
            <w:tcBorders>
              <w:top w:val="single" w:sz="2" w:space="0" w:color="000000"/>
              <w:left w:val="single" w:sz="2" w:space="0" w:color="000000"/>
              <w:bottom w:val="single" w:sz="2" w:space="0" w:color="000000"/>
            </w:tcBorders>
          </w:tcPr>
          <w:p>
            <w:pPr>
              <w:pStyle w:val="Contedodatabela"/>
              <w:widowControl w:val="false"/>
              <w:spacing w:lineRule="auto" w:line="240"/>
              <w:rPr>
                <w:rFonts w:ascii="Verdana" w:hAnsi="Verdana"/>
                <w:sz w:val="20"/>
                <w:szCs w:val="20"/>
              </w:rPr>
            </w:pPr>
            <w:r>
              <w:rPr>
                <w:rFonts w:ascii="Verdana" w:hAnsi="Verdana"/>
                <w:b/>
                <w:bCs/>
                <w:sz w:val="20"/>
                <w:szCs w:val="20"/>
              </w:rPr>
              <w:t>Item</w:t>
            </w:r>
          </w:p>
        </w:tc>
        <w:tc>
          <w:tcPr>
            <w:tcW w:w="6199" w:type="dxa"/>
            <w:tcBorders>
              <w:top w:val="single" w:sz="2" w:space="0" w:color="000000"/>
              <w:left w:val="single" w:sz="2" w:space="0" w:color="000000"/>
              <w:bottom w:val="single" w:sz="2" w:space="0" w:color="000000"/>
            </w:tcBorders>
          </w:tcPr>
          <w:p>
            <w:pPr>
              <w:pStyle w:val="Contedodatabela"/>
              <w:widowControl w:val="false"/>
              <w:spacing w:lineRule="auto" w:line="240"/>
              <w:rPr>
                <w:rFonts w:ascii="Verdana" w:hAnsi="Verdana"/>
                <w:sz w:val="20"/>
                <w:szCs w:val="20"/>
              </w:rPr>
            </w:pPr>
            <w:r>
              <w:rPr>
                <w:rFonts w:ascii="Verdana" w:hAnsi="Verdana"/>
                <w:b/>
                <w:bCs/>
                <w:sz w:val="20"/>
                <w:szCs w:val="20"/>
              </w:rPr>
              <w:t>Descrição</w:t>
            </w:r>
          </w:p>
        </w:tc>
        <w:tc>
          <w:tcPr>
            <w:tcW w:w="1600" w:type="dxa"/>
            <w:tcBorders>
              <w:top w:val="single" w:sz="2" w:space="0" w:color="000000"/>
              <w:left w:val="single" w:sz="2" w:space="0" w:color="000000"/>
              <w:bottom w:val="single" w:sz="2" w:space="0" w:color="000000"/>
            </w:tcBorders>
          </w:tcPr>
          <w:p>
            <w:pPr>
              <w:pStyle w:val="Contedodatabela"/>
              <w:widowControl w:val="false"/>
              <w:spacing w:lineRule="auto" w:line="240"/>
              <w:rPr>
                <w:rFonts w:ascii="Verdana" w:hAnsi="Verdana"/>
                <w:sz w:val="20"/>
                <w:szCs w:val="20"/>
              </w:rPr>
            </w:pPr>
            <w:r>
              <w:rPr>
                <w:rFonts w:ascii="Verdana" w:hAnsi="Verdana"/>
                <w:b/>
                <w:bCs/>
                <w:sz w:val="20"/>
                <w:szCs w:val="20"/>
              </w:rPr>
              <w:t>Und.</w:t>
            </w:r>
          </w:p>
        </w:tc>
        <w:tc>
          <w:tcPr>
            <w:tcW w:w="917" w:type="dxa"/>
            <w:tcBorders>
              <w:top w:val="single" w:sz="2" w:space="0" w:color="000000"/>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sz w:val="20"/>
                <w:szCs w:val="20"/>
              </w:rPr>
            </w:pPr>
            <w:r>
              <w:rPr>
                <w:rFonts w:ascii="Verdana" w:hAnsi="Verdana"/>
                <w:b/>
                <w:bCs/>
                <w:sz w:val="20"/>
                <w:szCs w:val="20"/>
              </w:rPr>
              <w:t>Qtde</w:t>
            </w:r>
          </w:p>
        </w:tc>
      </w:tr>
      <w:tr>
        <w:trPr/>
        <w:tc>
          <w:tcPr>
            <w:tcW w:w="767" w:type="dxa"/>
            <w:tcBorders>
              <w:left w:val="single" w:sz="2" w:space="0" w:color="000000"/>
              <w:bottom w:val="single" w:sz="2" w:space="0" w:color="000000"/>
            </w:tcBorders>
          </w:tcPr>
          <w:p>
            <w:pPr>
              <w:pStyle w:val="Contedodatabela"/>
              <w:widowControl w:val="false"/>
              <w:spacing w:lineRule="auto" w:line="240"/>
              <w:rPr>
                <w:rFonts w:ascii="Verdana" w:hAnsi="Verdana"/>
                <w:sz w:val="20"/>
                <w:szCs w:val="20"/>
              </w:rPr>
            </w:pPr>
            <w:r>
              <w:rPr>
                <w:rFonts w:ascii="Verdana" w:hAnsi="Verdana"/>
                <w:sz w:val="20"/>
                <w:szCs w:val="20"/>
              </w:rPr>
              <w:t>01</w:t>
            </w:r>
          </w:p>
        </w:tc>
        <w:tc>
          <w:tcPr>
            <w:tcW w:w="6199" w:type="dxa"/>
            <w:tcBorders>
              <w:left w:val="single" w:sz="2" w:space="0" w:color="000000"/>
              <w:bottom w:val="single" w:sz="2" w:space="0" w:color="000000"/>
            </w:tcBorders>
          </w:tcPr>
          <w:p>
            <w:pPr>
              <w:pStyle w:val="Contedodatabela"/>
              <w:widowControl w:val="false"/>
              <w:spacing w:lineRule="auto" w:line="240"/>
              <w:jc w:val="both"/>
              <w:rPr>
                <w:rFonts w:ascii="Verdana" w:hAnsi="Verdana"/>
                <w:sz w:val="20"/>
                <w:szCs w:val="20"/>
              </w:rPr>
            </w:pPr>
            <w:r>
              <w:rPr>
                <w:rFonts w:ascii="Verdana" w:hAnsi="Verdana"/>
                <w:sz w:val="20"/>
                <w:szCs w:val="20"/>
              </w:rPr>
              <w:t>Contratação de leiloeiro (a) com Registro regular na Junta Comercial (no caso do Espirito Santo, a JUCEES) como leiloeiro público oficial, conforme o Decreto nº 21.981/1932, que regulamenta a profissão</w:t>
            </w:r>
          </w:p>
        </w:tc>
        <w:tc>
          <w:tcPr>
            <w:tcW w:w="1600" w:type="dxa"/>
            <w:tcBorders>
              <w:left w:val="single" w:sz="2" w:space="0" w:color="000000"/>
              <w:bottom w:val="single" w:sz="2" w:space="0" w:color="000000"/>
            </w:tcBorders>
          </w:tcPr>
          <w:p>
            <w:pPr>
              <w:pStyle w:val="Contedodatabela"/>
              <w:widowControl w:val="false"/>
              <w:spacing w:lineRule="auto" w:line="240"/>
              <w:rPr>
                <w:rFonts w:ascii="Verdana" w:hAnsi="Verdana"/>
                <w:sz w:val="20"/>
                <w:szCs w:val="20"/>
              </w:rPr>
            </w:pPr>
            <w:r>
              <w:rPr>
                <w:rFonts w:ascii="Verdana" w:hAnsi="Verdana"/>
                <w:sz w:val="20"/>
                <w:szCs w:val="20"/>
              </w:rPr>
              <w:t>Serviço</w:t>
            </w:r>
          </w:p>
        </w:tc>
        <w:tc>
          <w:tcPr>
            <w:tcW w:w="917" w:type="dxa"/>
            <w:tcBorders>
              <w:left w:val="single" w:sz="2" w:space="0" w:color="000000"/>
              <w:bottom w:val="single" w:sz="2" w:space="0" w:color="000000"/>
              <w:right w:val="single" w:sz="2" w:space="0" w:color="000000"/>
            </w:tcBorders>
          </w:tcPr>
          <w:p>
            <w:pPr>
              <w:pStyle w:val="Contedodatabela"/>
              <w:widowControl w:val="false"/>
              <w:spacing w:lineRule="auto" w:line="240"/>
              <w:rPr>
                <w:rFonts w:ascii="Verdana" w:hAnsi="Verdana"/>
                <w:sz w:val="20"/>
                <w:szCs w:val="20"/>
              </w:rPr>
            </w:pPr>
            <w:r>
              <w:rPr>
                <w:rFonts w:ascii="Verdana" w:hAnsi="Verdana"/>
                <w:sz w:val="20"/>
                <w:szCs w:val="20"/>
              </w:rPr>
              <w:t>01</w:t>
            </w:r>
          </w:p>
        </w:tc>
      </w:tr>
    </w:tbl>
    <w:p>
      <w:pPr>
        <w:pStyle w:val="Normal"/>
        <w:spacing w:lineRule="auto" w:line="240" w:before="0" w:after="0"/>
        <w:jc w:val="both"/>
        <w:rPr>
          <w:rFonts w:ascii="Verdana" w:hAnsi="Verdana" w:cs="Arial"/>
          <w:sz w:val="20"/>
          <w:szCs w:val="20"/>
        </w:rPr>
      </w:pPr>
      <w:r>
        <w:rPr>
          <w:rFonts w:cs="Arial" w:ascii="Verdana" w:hAnsi="Verdana"/>
          <w:sz w:val="20"/>
          <w:szCs w:val="20"/>
        </w:rPr>
      </w:r>
    </w:p>
    <w:p>
      <w:pPr>
        <w:pStyle w:val="Textoprformatado"/>
        <w:spacing w:lineRule="auto" w:line="240"/>
        <w:jc w:val="both"/>
        <w:rPr/>
      </w:pPr>
      <w:r>
        <w:rPr>
          <w:rStyle w:val="Cdigo-fonte"/>
          <w:rFonts w:cs="Arial" w:ascii="Verdana" w:hAnsi="Verdana"/>
          <w:sz w:val="20"/>
          <w:szCs w:val="20"/>
        </w:rPr>
        <w:t>1.2. Os serviços contratados abrangem todo o procedimento do Leilão, mediante prévia determinação da Secretaria Municipal de Administração – SEMAD/PMSGP, conforme necessidade da Administração Pública Municipal.</w:t>
      </w:r>
    </w:p>
    <w:p>
      <w:pPr>
        <w:pStyle w:val="Textoprformatado"/>
        <w:spacing w:lineRule="auto" w:line="240"/>
        <w:jc w:val="both"/>
        <w:rPr/>
      </w:pPr>
      <w:r>
        <w:rPr>
          <w:rStyle w:val="Cdigo-fonte"/>
          <w:rFonts w:cs="Arial" w:ascii="Verdana" w:hAnsi="Verdana"/>
          <w:sz w:val="20"/>
          <w:szCs w:val="20"/>
        </w:rPr>
        <w:t>1.3. A Secretaria Municipal de Administração – SEMAD/PMSGP indicará os bens a serem objeto de cada Leilão.</w:t>
      </w:r>
    </w:p>
    <w:p>
      <w:pPr>
        <w:pStyle w:val="Normal"/>
        <w:numPr>
          <w:ilvl w:val="0"/>
          <w:numId w:val="0"/>
        </w:numPr>
        <w:tabs>
          <w:tab w:val="clear" w:pos="708"/>
          <w:tab w:val="left" w:pos="567" w:leader="none"/>
        </w:tabs>
        <w:spacing w:lineRule="auto" w:line="240"/>
        <w:ind w:left="0" w:hanging="0"/>
        <w:jc w:val="both"/>
        <w:rPr>
          <w:rFonts w:ascii="Verdana" w:hAnsi="Verdana"/>
          <w:sz w:val="20"/>
          <w:szCs w:val="20"/>
        </w:rPr>
      </w:pPr>
      <w:r>
        <w:rPr>
          <w:rFonts w:ascii="Verdana" w:hAnsi="Verdana"/>
          <w:sz w:val="20"/>
          <w:szCs w:val="20"/>
        </w:rPr>
        <w:t>1.4. O prazo para a realização do leilão será de 30 dias contados após o credenciamento do leiloeiro.</w:t>
      </w:r>
    </w:p>
    <w:p>
      <w:pPr>
        <w:pStyle w:val="Textoprformatado"/>
        <w:spacing w:lineRule="auto" w:line="240"/>
        <w:jc w:val="both"/>
        <w:rPr/>
      </w:pPr>
      <w:r>
        <w:rPr>
          <w:rStyle w:val="Cdigo-fonte"/>
          <w:rFonts w:cs="Arial" w:ascii="Verdana" w:hAnsi="Verdana"/>
          <w:sz w:val="20"/>
          <w:szCs w:val="20"/>
        </w:rPr>
        <w:t>1.5. O credenciamento vigerá por prazo indeterminado, com início a partir da publicação dos nomes dos leiloeiros credenciados e qualquer interessado poderá solicitar seu credenciamento conforme exigências Edital de Credenciamento.</w:t>
      </w:r>
    </w:p>
    <w:p>
      <w:pPr>
        <w:pStyle w:val="Textoprformatado"/>
        <w:spacing w:lineRule="auto" w:line="240"/>
        <w:jc w:val="both"/>
        <w:rPr/>
      </w:pPr>
      <w:r>
        <w:rPr>
          <w:rStyle w:val="Cdigo-fonte"/>
          <w:rFonts w:cs="Arial" w:ascii="Verdana" w:hAnsi="Verdana"/>
          <w:sz w:val="20"/>
          <w:szCs w:val="20"/>
        </w:rPr>
        <w:t>1.6. Os contratos oriundos do credenciamento terão vigência a partir do dia subsequente ao da publicação do seu resumo no Diário Oficial e fim em período de até 12 (doze) meses, a ser estabelecido no respectivo instrumento de contrato, podendo ser prorrogado mediante interesse da Administração, sem prejuízo da obrigação de prestação de contas de cada leilão e demais obrigações do contratado.</w:t>
      </w:r>
    </w:p>
    <w:p>
      <w:pPr>
        <w:pStyle w:val="Textoprformatado"/>
        <w:spacing w:lineRule="auto" w:line="240"/>
        <w:jc w:val="both"/>
        <w:rPr/>
      </w:pPr>
      <w:r>
        <w:rPr>
          <w:rStyle w:val="Cdigo-fonte"/>
          <w:rFonts w:cs="Arial" w:ascii="Verdana" w:hAnsi="Verdana"/>
          <w:sz w:val="20"/>
          <w:szCs w:val="20"/>
        </w:rPr>
        <w:t>1.7. Os contratos poderão ser prorrogados, excepcionalmente, dentro dos limites previstos pela Lei Federal nº 14.133/2021.</w:t>
      </w:r>
    </w:p>
    <w:p>
      <w:pPr>
        <w:pStyle w:val="Textoprformatado"/>
        <w:spacing w:lineRule="auto" w:line="240"/>
        <w:jc w:val="both"/>
        <w:rPr>
          <w:rFonts w:ascii="Verdana" w:hAnsi="Verdana" w:cs="Arial"/>
          <w:sz w:val="20"/>
          <w:szCs w:val="20"/>
        </w:rPr>
      </w:pPr>
      <w:r>
        <w:rPr>
          <w:rFonts w:cs="Arial" w:ascii="Verdana" w:hAnsi="Verdana"/>
          <w:sz w:val="20"/>
          <w:szCs w:val="20"/>
        </w:rPr>
      </w:r>
    </w:p>
    <w:p>
      <w:pPr>
        <w:pStyle w:val="Textoprformatado"/>
        <w:spacing w:lineRule="auto" w:line="240"/>
        <w:jc w:val="both"/>
        <w:rPr/>
      </w:pPr>
      <w:r>
        <w:rPr>
          <w:rStyle w:val="Cdigo-fonte"/>
          <w:rFonts w:cs="Arial" w:ascii="Verdana" w:hAnsi="Verdana"/>
          <w:b/>
          <w:bCs/>
          <w:sz w:val="20"/>
          <w:szCs w:val="20"/>
        </w:rPr>
        <w:t xml:space="preserve">1.8.  INFORMAÇÕES </w:t>
      </w:r>
    </w:p>
    <w:p>
      <w:pPr>
        <w:pStyle w:val="Textoprformatado"/>
        <w:spacing w:lineRule="auto" w:line="240"/>
        <w:jc w:val="both"/>
        <w:rPr/>
      </w:pPr>
      <w:r>
        <w:rPr>
          <w:rStyle w:val="Cdigo-fonte"/>
          <w:rFonts w:cs="Arial" w:ascii="Verdana" w:hAnsi="Verdana"/>
          <w:sz w:val="20"/>
          <w:szCs w:val="20"/>
        </w:rPr>
        <w:t>Secretaria Municipal de Administração –  SEMAD/PMSGP</w:t>
      </w:r>
    </w:p>
    <w:p>
      <w:pPr>
        <w:pStyle w:val="Textoprformatado"/>
        <w:spacing w:lineRule="auto" w:line="240"/>
        <w:jc w:val="both"/>
        <w:rPr/>
      </w:pPr>
      <w:r>
        <w:rPr>
          <w:rStyle w:val="Cdigo-fonte"/>
          <w:rFonts w:cs="Arial" w:ascii="Verdana" w:hAnsi="Verdana"/>
          <w:sz w:val="20"/>
          <w:szCs w:val="20"/>
        </w:rPr>
        <w:t>E-mail: licitacao@saogabriel.es.gov.br</w:t>
      </w:r>
    </w:p>
    <w:p>
      <w:pPr>
        <w:pStyle w:val="Textoprformatado"/>
        <w:spacing w:lineRule="auto" w:line="240"/>
        <w:jc w:val="both"/>
        <w:rPr>
          <w:rFonts w:ascii="Verdana" w:hAnsi="Verdana" w:cs="Arial"/>
          <w:sz w:val="20"/>
          <w:szCs w:val="20"/>
        </w:rPr>
      </w:pPr>
      <w:r>
        <w:rPr>
          <w:rFonts w:cs="Arial" w:ascii="Verdana" w:hAnsi="Verdana"/>
          <w:sz w:val="20"/>
          <w:szCs w:val="20"/>
        </w:rPr>
      </w:r>
    </w:p>
    <w:p>
      <w:pPr>
        <w:pStyle w:val="Normal"/>
        <w:spacing w:lineRule="auto" w:line="240"/>
        <w:ind w:left="0" w:right="0" w:hanging="0"/>
        <w:rPr>
          <w:rFonts w:ascii="Verdana" w:hAnsi="Verdana"/>
          <w:sz w:val="20"/>
          <w:szCs w:val="20"/>
        </w:rPr>
      </w:pPr>
      <w:r>
        <w:rPr>
          <w:rFonts w:ascii="Verdana" w:hAnsi="Verdana"/>
          <w:b/>
          <w:bCs/>
          <w:sz w:val="20"/>
          <w:szCs w:val="20"/>
        </w:rPr>
        <w:t>2. FUNDAMENTAÇÃO E DESCRIÇÃO DA NECESSIDADE DA CONTRATAÇÃO</w:t>
      </w:r>
    </w:p>
    <w:p>
      <w:pPr>
        <w:pStyle w:val="ListParagraph"/>
        <w:pageBreakBefore w:val="false"/>
        <w:widowControl/>
        <w:suppressAutoHyphens w:val="true"/>
        <w:overflowPunct w:val="false"/>
        <w:bidi w:val="0"/>
        <w:spacing w:lineRule="auto" w:line="240" w:before="0" w:after="0"/>
        <w:ind w:left="0" w:right="0" w:hanging="0"/>
        <w:contextualSpacing/>
        <w:jc w:val="both"/>
        <w:rPr>
          <w:rFonts w:ascii="Verdana" w:hAnsi="Verdana"/>
          <w:sz w:val="20"/>
          <w:szCs w:val="20"/>
        </w:rPr>
      </w:pPr>
      <w:r>
        <w:rPr>
          <w:rFonts w:cs="Arial" w:ascii="Verdana" w:hAnsi="Verdana"/>
          <w:b w:val="false"/>
          <w:bCs w:val="false"/>
          <w:sz w:val="20"/>
          <w:szCs w:val="20"/>
        </w:rPr>
        <w:t xml:space="preserve">2.1. </w:t>
      </w:r>
      <w:bookmarkStart w:id="0" w:name="_Hlk170988156"/>
      <w:r>
        <w:rPr>
          <w:rFonts w:ascii="Verdana" w:hAnsi="Verdana"/>
          <w:sz w:val="20"/>
          <w:szCs w:val="20"/>
        </w:rPr>
        <w:t>A Fundamentação da Contratação e de seus quantitativos encontra-se pormenorizada em tópico específico dos Estudos Técnicos Preliminares, apêndice deste Termo de Referência.</w:t>
      </w:r>
      <w:bookmarkEnd w:id="0"/>
    </w:p>
    <w:p>
      <w:pPr>
        <w:pStyle w:val="ListParagraph"/>
        <w:widowControl/>
        <w:suppressAutoHyphens w:val="true"/>
        <w:overflowPunct w:val="false"/>
        <w:bidi w:val="0"/>
        <w:spacing w:lineRule="auto" w:line="240" w:before="0" w:after="0"/>
        <w:ind w:left="0" w:right="0" w:hanging="0"/>
        <w:contextualSpacing/>
        <w:jc w:val="both"/>
        <w:rPr>
          <w:rFonts w:ascii="Verdana" w:hAnsi="Verdana"/>
          <w:sz w:val="20"/>
          <w:szCs w:val="20"/>
        </w:rPr>
      </w:pPr>
      <w:r>
        <w:rPr>
          <w:rFonts w:ascii="Verdana" w:hAnsi="Verdana"/>
          <w:sz w:val="20"/>
          <w:szCs w:val="20"/>
        </w:rPr>
      </w:r>
    </w:p>
    <w:p>
      <w:pPr>
        <w:pStyle w:val="Normal"/>
        <w:tabs>
          <w:tab w:val="clear" w:pos="708"/>
          <w:tab w:val="left" w:pos="335" w:leader="none"/>
        </w:tabs>
        <w:spacing w:lineRule="auto" w:line="240"/>
        <w:jc w:val="both"/>
        <w:rPr>
          <w:rFonts w:ascii="Verdana" w:hAnsi="Verdana"/>
          <w:sz w:val="20"/>
          <w:szCs w:val="20"/>
        </w:rPr>
      </w:pPr>
      <w:r>
        <w:rPr>
          <w:rFonts w:ascii="Verdana" w:hAnsi="Verdana"/>
          <w:b/>
          <w:bCs/>
          <w:sz w:val="20"/>
          <w:szCs w:val="20"/>
        </w:rPr>
        <w:t>3. DESCRIÇÃO DA SOLUÇÃO</w:t>
      </w:r>
    </w:p>
    <w:p>
      <w:pPr>
        <w:pStyle w:val="Normal"/>
        <w:suppressAutoHyphens w:val="false"/>
        <w:spacing w:lineRule="auto" w:line="240" w:before="0" w:after="0"/>
        <w:ind w:right="0" w:hanging="0"/>
        <w:jc w:val="both"/>
        <w:rPr>
          <w:rFonts w:ascii="Verdana" w:hAnsi="Verdana"/>
          <w:sz w:val="20"/>
          <w:szCs w:val="20"/>
        </w:rPr>
      </w:pPr>
      <w:r>
        <w:rPr>
          <w:rFonts w:eastAsia="Arial" w:cs="Arial" w:ascii="Verdana" w:hAnsi="Verdana"/>
          <w:b w:val="false"/>
          <w:bCs w:val="false"/>
          <w:i w:val="false"/>
          <w:iCs w:val="false"/>
          <w:color w:val="000000"/>
          <w:sz w:val="20"/>
          <w:szCs w:val="20"/>
          <w:u w:val="none"/>
        </w:rPr>
        <w:t xml:space="preserve">3.1 </w:t>
      </w:r>
      <w:bookmarkStart w:id="1" w:name="_Ref121236534"/>
      <w:r>
        <w:rPr>
          <w:rFonts w:eastAsia="Arial" w:cs="Arial" w:ascii="Verdana" w:hAnsi="Verdana"/>
          <w:b w:val="false"/>
          <w:bCs w:val="false"/>
          <w:i w:val="false"/>
          <w:iCs w:val="false"/>
          <w:color w:val="000000"/>
          <w:sz w:val="20"/>
          <w:szCs w:val="20"/>
          <w:u w:val="none"/>
        </w:rPr>
        <w:t>A descrição da solução como um todo, encontra-se pormenorizada em tópico específico dos Estudos Técnicos Preliminares, apêndice deste Termo de Referência.</w:t>
      </w:r>
      <w:bookmarkEnd w:id="1"/>
    </w:p>
    <w:p>
      <w:pPr>
        <w:pStyle w:val="Normal"/>
        <w:widowControl/>
        <w:suppressAutoHyphens w:val="false"/>
        <w:overflowPunct w:val="true"/>
        <w:bidi w:val="0"/>
        <w:spacing w:lineRule="auto" w:line="240" w:before="0" w:after="0"/>
        <w:ind w:left="0" w:right="0" w:hanging="0"/>
        <w:jc w:val="both"/>
        <w:rPr>
          <w:rFonts w:ascii="Verdana" w:hAnsi="Verdana"/>
          <w:b/>
          <w:bCs/>
          <w:sz w:val="20"/>
          <w:szCs w:val="20"/>
        </w:rPr>
      </w:pPr>
      <w:r>
        <w:rPr>
          <w:rFonts w:ascii="Verdana" w:hAnsi="Verdana"/>
          <w:b/>
          <w:bCs/>
          <w:sz w:val="20"/>
          <w:szCs w:val="20"/>
        </w:rPr>
      </w:r>
    </w:p>
    <w:p>
      <w:pPr>
        <w:pStyle w:val="Normal"/>
        <w:widowControl/>
        <w:suppressAutoHyphens w:val="false"/>
        <w:overflowPunct w:val="true"/>
        <w:bidi w:val="0"/>
        <w:spacing w:lineRule="auto" w:line="240" w:before="0" w:after="0"/>
        <w:ind w:left="0" w:right="0" w:hanging="0"/>
        <w:jc w:val="both"/>
        <w:rPr>
          <w:rFonts w:ascii="Verdana" w:hAnsi="Verdana"/>
          <w:sz w:val="20"/>
          <w:szCs w:val="20"/>
        </w:rPr>
      </w:pPr>
      <w:r>
        <w:rPr>
          <w:rFonts w:ascii="Verdana" w:hAnsi="Verdana"/>
          <w:b/>
          <w:bCs/>
          <w:sz w:val="20"/>
          <w:szCs w:val="20"/>
        </w:rPr>
        <w:t>4. REQUISITOS DO CREDENCIAMENTO</w:t>
      </w:r>
    </w:p>
    <w:p>
      <w:pPr>
        <w:pStyle w:val="Corpodotexto"/>
        <w:numPr>
          <w:ilvl w:val="0"/>
          <w:numId w:val="0"/>
        </w:numPr>
        <w:spacing w:lineRule="auto" w:line="240" w:before="0" w:after="0"/>
        <w:ind w:left="0" w:hanging="0"/>
        <w:jc w:val="both"/>
        <w:rPr>
          <w:rFonts w:ascii="Verdana" w:hAnsi="Verdana"/>
          <w:sz w:val="20"/>
          <w:szCs w:val="20"/>
        </w:rPr>
      </w:pPr>
      <w:r>
        <w:rPr>
          <w:rFonts w:ascii="Verdana" w:hAnsi="Verdana"/>
          <w:b w:val="false"/>
          <w:bCs w:val="false"/>
          <w:sz w:val="20"/>
          <w:szCs w:val="20"/>
        </w:rPr>
        <w:t>4.1. Para que os leiloeiros públicos oficiais possam ser credenciados pela Administração Pública Municipal de São Gabriel da Palha/ES, é fundamental que o edital de chamamento público estabeleça critérios claros e objetivos de habilitação, em conformidade com a Lei nº 14.133/2021 e a legislação específica que rege a profissão de leiloeiro. Os requisitos visam garantir a capacidade técnica, jurídica e econômico-financeira dos interessados, bem como a sua regularidade fiscal e trabalhista.</w:t>
      </w:r>
    </w:p>
    <w:p>
      <w:pPr>
        <w:pStyle w:val="Textoprformatado"/>
        <w:numPr>
          <w:ilvl w:val="0"/>
          <w:numId w:val="0"/>
        </w:numPr>
        <w:spacing w:lineRule="auto" w:line="240"/>
        <w:ind w:left="0" w:hanging="0"/>
        <w:jc w:val="both"/>
        <w:rPr/>
      </w:pPr>
      <w:r>
        <w:rPr>
          <w:rStyle w:val="Cdigo-fonte"/>
          <w:rFonts w:cs="Arial" w:ascii="Verdana" w:hAnsi="Verdana"/>
          <w:sz w:val="20"/>
          <w:szCs w:val="20"/>
        </w:rPr>
        <w:t>4.1.1 Não será admitido o credenciamento individual de preposto, sendo que este somente poderá representar o Leiloeiro Oficial devidamente credenciado, quando de seus impedimentos legais comprovados, respeitado o disposto no Art. 52 da IN DREI n.º 72/2019.</w:t>
      </w:r>
    </w:p>
    <w:p>
      <w:pPr>
        <w:pStyle w:val="Ttulo3"/>
        <w:numPr>
          <w:ilvl w:val="0"/>
          <w:numId w:val="0"/>
        </w:numPr>
        <w:spacing w:lineRule="auto" w:line="240" w:before="0" w:after="0"/>
        <w:ind w:left="0" w:hanging="0"/>
        <w:jc w:val="both"/>
        <w:rPr>
          <w:rFonts w:ascii="Verdana" w:hAnsi="Verdana"/>
          <w:sz w:val="20"/>
          <w:szCs w:val="20"/>
        </w:rPr>
      </w:pPr>
      <w:r>
        <w:rPr>
          <w:rFonts w:ascii="Verdana" w:hAnsi="Verdana"/>
          <w:b/>
          <w:bCs/>
          <w:i w:val="false"/>
          <w:iCs w:val="false"/>
          <w:sz w:val="20"/>
          <w:szCs w:val="20"/>
        </w:rPr>
        <w:t>4.1.2. Requisitos Gerais de Habilitação (Lei nº 14.133/2021)</w:t>
      </w:r>
    </w:p>
    <w:p>
      <w:pPr>
        <w:pStyle w:val="Ttulo3"/>
        <w:spacing w:lineRule="auto" w:line="240"/>
        <w:ind w:left="0" w:hanging="0"/>
        <w:jc w:val="both"/>
        <w:rPr>
          <w:rFonts w:ascii="Verdana" w:hAnsi="Verdana"/>
          <w:sz w:val="20"/>
          <w:szCs w:val="20"/>
        </w:rPr>
      </w:pPr>
      <w:r>
        <w:rPr>
          <w:rFonts w:ascii="Verdana" w:hAnsi="Verdana"/>
          <w:b w:val="false"/>
          <w:bCs w:val="false"/>
          <w:i w:val="false"/>
          <w:iCs w:val="false"/>
          <w:sz w:val="20"/>
          <w:szCs w:val="20"/>
        </w:rPr>
        <w:t xml:space="preserve">• </w:t>
      </w:r>
      <w:r>
        <w:rPr>
          <w:rFonts w:ascii="Verdana" w:hAnsi="Verdana"/>
          <w:b w:val="false"/>
          <w:bCs w:val="false"/>
          <w:i w:val="false"/>
          <w:iCs w:val="false"/>
          <w:sz w:val="20"/>
          <w:szCs w:val="20"/>
        </w:rPr>
        <w:t>Habilitação Jurídica: Comprovação da existência legal da empresa ou da capacidade civil do profissional autônomo, por meio de registro comercial, estatuto social, contrato social, ou outros documentos pertinentes que atestem sua constituição e capacidade para exercer a atividade.</w:t>
      </w:r>
    </w:p>
    <w:p>
      <w:pPr>
        <w:pStyle w:val="Corpodotexto"/>
        <w:numPr>
          <w:ilvl w:val="0"/>
          <w:numId w:val="0"/>
        </w:numPr>
        <w:spacing w:lineRule="auto" w:line="240"/>
        <w:ind w:left="0" w:hanging="0"/>
        <w:jc w:val="both"/>
        <w:rPr>
          <w:rFonts w:ascii="Verdana" w:hAnsi="Verdana"/>
          <w:sz w:val="20"/>
          <w:szCs w:val="20"/>
        </w:rPr>
      </w:pPr>
      <w:r>
        <w:rPr>
          <w:rFonts w:ascii="Verdana" w:hAnsi="Verdana"/>
          <w:b w:val="false"/>
          <w:bCs w:val="false"/>
          <w:sz w:val="20"/>
          <w:szCs w:val="20"/>
        </w:rPr>
        <w:t xml:space="preserve">• </w:t>
      </w:r>
      <w:r>
        <w:rPr>
          <w:rFonts w:ascii="Verdana" w:hAnsi="Verdana"/>
          <w:b w:val="false"/>
          <w:bCs w:val="false"/>
          <w:sz w:val="20"/>
          <w:szCs w:val="20"/>
        </w:rPr>
        <w:t>Qualificação Técnica: Demonstração de aptidão para a execução do objeto do credenciamento, que envolve a organização e realização de leilões. Isso pode ser comprovado por:</w:t>
      </w:r>
    </w:p>
    <w:p>
      <w:pPr>
        <w:pStyle w:val="Corpodotexto"/>
        <w:numPr>
          <w:ilvl w:val="0"/>
          <w:numId w:val="0"/>
        </w:numPr>
        <w:spacing w:lineRule="auto" w:line="240"/>
        <w:ind w:left="0" w:hanging="0"/>
        <w:jc w:val="both"/>
        <w:rPr>
          <w:rFonts w:ascii="Verdana" w:hAnsi="Verdana"/>
          <w:sz w:val="20"/>
          <w:szCs w:val="20"/>
        </w:rPr>
      </w:pPr>
      <w:r>
        <w:rPr>
          <w:rFonts w:ascii="Verdana" w:hAnsi="Verdana"/>
          <w:b w:val="false"/>
          <w:bCs w:val="false"/>
          <w:sz w:val="20"/>
          <w:szCs w:val="20"/>
        </w:rPr>
        <w:t xml:space="preserve">• </w:t>
      </w:r>
      <w:r>
        <w:rPr>
          <w:rFonts w:ascii="Verdana" w:hAnsi="Verdana"/>
          <w:b w:val="false"/>
          <w:bCs w:val="false"/>
          <w:sz w:val="20"/>
          <w:szCs w:val="20"/>
        </w:rPr>
        <w:t>Registro regular na Junta Comercial do Estado (no caso do Espírito Santo, a JUCEES) como leiloeiro público oficial, conforme o Decreto nº 21.981/1932, que regulamenta a profissão.</w:t>
      </w:r>
    </w:p>
    <w:p>
      <w:pPr>
        <w:pStyle w:val="Corpodotexto"/>
        <w:numPr>
          <w:ilvl w:val="0"/>
          <w:numId w:val="0"/>
        </w:numPr>
        <w:spacing w:lineRule="auto" w:line="240"/>
        <w:ind w:left="0" w:hanging="0"/>
        <w:jc w:val="both"/>
        <w:rPr>
          <w:rFonts w:ascii="Verdana" w:hAnsi="Verdana"/>
          <w:sz w:val="20"/>
          <w:szCs w:val="20"/>
        </w:rPr>
      </w:pPr>
      <w:r>
        <w:rPr>
          <w:rFonts w:ascii="Verdana" w:hAnsi="Verdana"/>
          <w:b w:val="false"/>
          <w:bCs w:val="false"/>
          <w:sz w:val="20"/>
          <w:szCs w:val="20"/>
        </w:rPr>
        <w:t xml:space="preserve">• </w:t>
      </w:r>
      <w:r>
        <w:rPr>
          <w:rFonts w:ascii="Verdana" w:hAnsi="Verdana"/>
          <w:b w:val="false"/>
          <w:bCs w:val="false"/>
          <w:sz w:val="20"/>
          <w:szCs w:val="20"/>
        </w:rPr>
        <w:t>Comprovação de experiência anterior na realização de leilões de bens móveis, preferencialmente para o setor público, por meio de atestados de capacidade técnica emitidos por pessoas jurídicas de direito público ou privado.</w:t>
      </w:r>
    </w:p>
    <w:p>
      <w:pPr>
        <w:pStyle w:val="Corpodotexto"/>
        <w:numPr>
          <w:ilvl w:val="0"/>
          <w:numId w:val="0"/>
        </w:numPr>
        <w:spacing w:lineRule="auto" w:line="240"/>
        <w:ind w:left="0" w:hanging="0"/>
        <w:jc w:val="both"/>
        <w:rPr>
          <w:rFonts w:ascii="Verdana" w:hAnsi="Verdana"/>
          <w:sz w:val="20"/>
          <w:szCs w:val="20"/>
        </w:rPr>
      </w:pPr>
      <w:r>
        <w:rPr>
          <w:rFonts w:ascii="Verdana" w:hAnsi="Verdana"/>
          <w:b w:val="false"/>
          <w:bCs w:val="false"/>
          <w:sz w:val="20"/>
          <w:szCs w:val="20"/>
        </w:rPr>
        <w:t xml:space="preserve">• </w:t>
      </w:r>
      <w:r>
        <w:rPr>
          <w:rFonts w:ascii="Verdana" w:hAnsi="Verdana"/>
          <w:b w:val="false"/>
          <w:bCs w:val="false"/>
          <w:sz w:val="20"/>
          <w:szCs w:val="20"/>
        </w:rPr>
        <w:t>Disponibilidade de equipe técnica e estrutura operacional (plataforma online, equipe de apoio, local para exposição dos bens, etc.) compatível com a demanda e a complexidade dos leilões a serem realizados.</w:t>
      </w:r>
    </w:p>
    <w:p>
      <w:pPr>
        <w:pStyle w:val="Corpodotexto"/>
        <w:numPr>
          <w:ilvl w:val="0"/>
          <w:numId w:val="0"/>
        </w:numPr>
        <w:spacing w:lineRule="auto" w:line="240"/>
        <w:ind w:left="0" w:hanging="0"/>
        <w:jc w:val="both"/>
        <w:rPr>
          <w:rFonts w:ascii="Verdana" w:hAnsi="Verdana"/>
          <w:sz w:val="20"/>
          <w:szCs w:val="20"/>
        </w:rPr>
      </w:pPr>
      <w:r>
        <w:rPr>
          <w:rFonts w:ascii="Verdana" w:hAnsi="Verdana"/>
          <w:b w:val="false"/>
          <w:bCs w:val="false"/>
          <w:sz w:val="20"/>
          <w:szCs w:val="20"/>
        </w:rPr>
        <w:t xml:space="preserve">• </w:t>
      </w:r>
      <w:r>
        <w:rPr>
          <w:rFonts w:ascii="Verdana" w:hAnsi="Verdana"/>
          <w:b w:val="false"/>
          <w:bCs w:val="false"/>
          <w:sz w:val="20"/>
          <w:szCs w:val="20"/>
        </w:rPr>
        <w:t>Qualificação Econômico-Financeira: Capacidade financeira para suportar os custos iniciais e operacionais da organização dos leilões até a efetivação das vendas e recebimento das comissões. A comprovação pode ser feita por meio de balanços patrimoniais, demonstrações de resultados, certidões negativas de falência ou recuperação judicial, entre outros.</w:t>
      </w:r>
    </w:p>
    <w:p>
      <w:pPr>
        <w:pStyle w:val="Corpodotexto"/>
        <w:numPr>
          <w:ilvl w:val="0"/>
          <w:numId w:val="0"/>
        </w:numPr>
        <w:spacing w:lineRule="auto" w:line="240"/>
        <w:ind w:left="0" w:hanging="0"/>
        <w:jc w:val="both"/>
        <w:rPr>
          <w:rFonts w:ascii="Verdana" w:hAnsi="Verdana"/>
          <w:sz w:val="20"/>
          <w:szCs w:val="20"/>
        </w:rPr>
      </w:pPr>
      <w:r>
        <w:rPr>
          <w:rFonts w:ascii="Verdana" w:hAnsi="Verdana"/>
          <w:b w:val="false"/>
          <w:bCs w:val="false"/>
          <w:sz w:val="20"/>
          <w:szCs w:val="20"/>
        </w:rPr>
        <w:t xml:space="preserve">• </w:t>
      </w:r>
      <w:r>
        <w:rPr>
          <w:rFonts w:ascii="Verdana" w:hAnsi="Verdana"/>
          <w:b w:val="false"/>
          <w:bCs w:val="false"/>
          <w:sz w:val="20"/>
          <w:szCs w:val="20"/>
        </w:rPr>
        <w:t>Regularidade Fiscal, Social e Trabalhista: Comprovação de que o leiloeiro ou a empresa está em dia com suas obrigações fiscais (federais, estaduais e municipais), sociais (INSS, FGTS) e trabalhistas (débitos trabalhistas), por meio da apresentação de certidões negativas ou positivas com efeito de negativa.</w:t>
      </w:r>
    </w:p>
    <w:p>
      <w:pPr>
        <w:pStyle w:val="Corpodotexto"/>
        <w:numPr>
          <w:ilvl w:val="0"/>
          <w:numId w:val="0"/>
        </w:numPr>
        <w:spacing w:lineRule="auto" w:line="240" w:before="230" w:after="283"/>
        <w:ind w:left="0" w:hanging="0"/>
        <w:jc w:val="both"/>
        <w:rPr>
          <w:rFonts w:ascii="Verdana" w:hAnsi="Verdana"/>
          <w:sz w:val="20"/>
          <w:szCs w:val="20"/>
        </w:rPr>
      </w:pPr>
      <w:r>
        <w:rPr>
          <w:rFonts w:ascii="Verdana" w:hAnsi="Verdana"/>
          <w:b w:val="false"/>
          <w:bCs w:val="false"/>
          <w:sz w:val="20"/>
          <w:szCs w:val="20"/>
        </w:rPr>
        <w:t xml:space="preserve">• </w:t>
      </w:r>
      <w:r>
        <w:rPr>
          <w:rFonts w:ascii="Verdana" w:hAnsi="Verdana"/>
          <w:b w:val="false"/>
          <w:bCs w:val="false"/>
          <w:sz w:val="20"/>
          <w:szCs w:val="20"/>
        </w:rPr>
        <w:t>Cumprimento do disposto no inciso XXXIII do art. 7º da Constituição Federal: Declaração de que o proponente não emprega menor de dezoito anos em trabalho noturno, perigoso ou insalubre e não emprega menor de dezesseis anos, salvo na condição de aprendiz, a partir de quatorze anos.</w:t>
      </w:r>
    </w:p>
    <w:p>
      <w:pPr>
        <w:pStyle w:val="Ttulo3"/>
        <w:numPr>
          <w:ilvl w:val="0"/>
          <w:numId w:val="0"/>
        </w:numPr>
        <w:spacing w:lineRule="auto" w:line="240" w:before="69" w:after="69"/>
        <w:ind w:left="0" w:hanging="0"/>
        <w:jc w:val="both"/>
        <w:rPr>
          <w:rFonts w:ascii="Verdana" w:hAnsi="Verdana"/>
          <w:sz w:val="20"/>
          <w:szCs w:val="20"/>
        </w:rPr>
      </w:pPr>
      <w:r>
        <w:rPr>
          <w:rFonts w:ascii="Verdana" w:hAnsi="Verdana"/>
          <w:b/>
          <w:bCs/>
          <w:i w:val="false"/>
          <w:iCs w:val="false"/>
          <w:sz w:val="20"/>
          <w:szCs w:val="20"/>
        </w:rPr>
        <w:t>4.1.3. Requisitos Específicos para Leiloeiros Públicos Oficiais</w:t>
      </w:r>
    </w:p>
    <w:p>
      <w:pPr>
        <w:pStyle w:val="Ttulo3"/>
        <w:numPr>
          <w:ilvl w:val="0"/>
          <w:numId w:val="0"/>
        </w:numPr>
        <w:spacing w:lineRule="auto" w:line="240"/>
        <w:ind w:left="0" w:hanging="0"/>
        <w:jc w:val="both"/>
        <w:rPr>
          <w:rFonts w:ascii="Verdana" w:hAnsi="Verdana"/>
          <w:sz w:val="20"/>
          <w:szCs w:val="20"/>
        </w:rPr>
      </w:pPr>
      <w:r>
        <w:rPr>
          <w:rFonts w:ascii="Verdana" w:hAnsi="Verdana"/>
          <w:b w:val="false"/>
          <w:bCs w:val="false"/>
          <w:i w:val="false"/>
          <w:iCs w:val="false"/>
          <w:sz w:val="20"/>
          <w:szCs w:val="20"/>
        </w:rPr>
        <w:t>4.1.3.1. Além dos requisitos gerais da Lei nº 14.133/2021, o credenciamento de leiloeiros públicos oficiais deve observar as particularidades da profissão, conforme o Decreto nº 21.981/1932, que regulamenta a atividade. Os principais requisitos específicos incluem:</w:t>
      </w:r>
    </w:p>
    <w:p>
      <w:pPr>
        <w:pStyle w:val="Corpodotexto"/>
        <w:numPr>
          <w:ilvl w:val="0"/>
          <w:numId w:val="0"/>
        </w:numPr>
        <w:spacing w:lineRule="auto" w:line="240"/>
        <w:ind w:left="0" w:hanging="0"/>
        <w:jc w:val="both"/>
        <w:rPr>
          <w:rFonts w:ascii="Verdana" w:hAnsi="Verdana"/>
          <w:sz w:val="20"/>
          <w:szCs w:val="20"/>
        </w:rPr>
      </w:pPr>
      <w:r>
        <w:rPr>
          <w:rFonts w:ascii="Verdana" w:hAnsi="Verdana"/>
          <w:b w:val="false"/>
          <w:bCs w:val="false"/>
          <w:sz w:val="20"/>
          <w:szCs w:val="20"/>
        </w:rPr>
        <w:t xml:space="preserve">• </w:t>
      </w:r>
      <w:r>
        <w:rPr>
          <w:rFonts w:ascii="Verdana" w:hAnsi="Verdana"/>
          <w:b w:val="false"/>
          <w:bCs w:val="false"/>
          <w:sz w:val="20"/>
          <w:szCs w:val="20"/>
        </w:rPr>
        <w:t>Matrícula na Junta Comercial: O leiloeiro deve estar devidamente matriculado na Junta Comercial do Estado onde irá atuar, o que confere a ele a fé pública necessária para a realização dos leilões.</w:t>
      </w:r>
    </w:p>
    <w:p>
      <w:pPr>
        <w:pStyle w:val="Corpodotexto"/>
        <w:numPr>
          <w:ilvl w:val="0"/>
          <w:numId w:val="0"/>
        </w:numPr>
        <w:spacing w:lineRule="auto" w:line="240"/>
        <w:ind w:left="0" w:hanging="0"/>
        <w:jc w:val="both"/>
        <w:rPr>
          <w:rFonts w:ascii="Verdana" w:hAnsi="Verdana"/>
          <w:sz w:val="20"/>
          <w:szCs w:val="20"/>
        </w:rPr>
      </w:pPr>
      <w:r>
        <w:rPr>
          <w:rFonts w:ascii="Verdana" w:hAnsi="Verdana"/>
          <w:b w:val="false"/>
          <w:bCs w:val="false"/>
          <w:sz w:val="20"/>
          <w:szCs w:val="20"/>
        </w:rPr>
        <w:t xml:space="preserve">• </w:t>
      </w:r>
      <w:r>
        <w:rPr>
          <w:rFonts w:ascii="Verdana" w:hAnsi="Verdana"/>
          <w:b w:val="false"/>
          <w:bCs w:val="false"/>
          <w:sz w:val="20"/>
          <w:szCs w:val="20"/>
        </w:rPr>
        <w:t>Caução: A exigência de caução, prevista na legislação específica, como garantia de cumprimento de suas obrigações e indenização por eventuais prejuízos causados a terceiros.</w:t>
      </w:r>
    </w:p>
    <w:p>
      <w:pPr>
        <w:pStyle w:val="Corpodotexto"/>
        <w:numPr>
          <w:ilvl w:val="0"/>
          <w:numId w:val="0"/>
        </w:numPr>
        <w:spacing w:lineRule="auto" w:line="240"/>
        <w:ind w:left="0" w:hanging="0"/>
        <w:jc w:val="both"/>
        <w:rPr>
          <w:rFonts w:ascii="Verdana" w:hAnsi="Verdana"/>
          <w:sz w:val="20"/>
          <w:szCs w:val="20"/>
        </w:rPr>
      </w:pPr>
      <w:r>
        <w:rPr>
          <w:rFonts w:ascii="Verdana" w:hAnsi="Verdana"/>
          <w:b w:val="false"/>
          <w:bCs w:val="false"/>
          <w:sz w:val="20"/>
          <w:szCs w:val="20"/>
        </w:rPr>
        <w:t xml:space="preserve">• </w:t>
      </w:r>
      <w:r>
        <w:rPr>
          <w:rFonts w:ascii="Verdana" w:hAnsi="Verdana"/>
          <w:b w:val="false"/>
          <w:bCs w:val="false"/>
          <w:sz w:val="20"/>
          <w:szCs w:val="20"/>
        </w:rPr>
        <w:t>Conduta Ética e Idoneidade: A comprovação de idoneidade moral e profissional, por meio de certidões criminais e cíveis, e a ausência de impedimentos legais para o exercício da profissão.</w:t>
      </w:r>
    </w:p>
    <w:p>
      <w:pPr>
        <w:pStyle w:val="Corpodotexto"/>
        <w:numPr>
          <w:ilvl w:val="0"/>
          <w:numId w:val="0"/>
        </w:numPr>
        <w:spacing w:lineRule="auto" w:line="240" w:before="230" w:after="283"/>
        <w:ind w:left="0" w:hanging="0"/>
        <w:jc w:val="both"/>
        <w:rPr>
          <w:rFonts w:ascii="Verdana" w:hAnsi="Verdana"/>
          <w:sz w:val="20"/>
          <w:szCs w:val="20"/>
        </w:rPr>
      </w:pPr>
      <w:r>
        <w:rPr>
          <w:rFonts w:ascii="Verdana" w:hAnsi="Verdana"/>
          <w:b w:val="false"/>
          <w:bCs w:val="false"/>
          <w:sz w:val="20"/>
          <w:szCs w:val="20"/>
        </w:rPr>
        <w:t xml:space="preserve">• </w:t>
      </w:r>
      <w:r>
        <w:rPr>
          <w:rFonts w:ascii="Verdana" w:hAnsi="Verdana"/>
          <w:b w:val="false"/>
          <w:bCs w:val="false"/>
          <w:sz w:val="20"/>
          <w:szCs w:val="20"/>
        </w:rPr>
        <w:t>Plataforma Eletrônica (quando aplicável): Para a realização de leilões online, a comprovação de que o leiloeiro possui ou tem acesso a uma plataforma eletrônica segura e funcional, com recursos que garantam a transparência, a segurança das informações e a participação ampla dos interessados.</w:t>
      </w:r>
    </w:p>
    <w:p>
      <w:pPr>
        <w:pStyle w:val="Textoprformatado"/>
        <w:spacing w:lineRule="auto" w:line="240"/>
        <w:jc w:val="both"/>
        <w:rPr/>
      </w:pPr>
      <w:r>
        <w:rPr>
          <w:rStyle w:val="Cdigo-fonte"/>
          <w:rFonts w:cs="Arial" w:ascii="Verdana" w:hAnsi="Verdana"/>
          <w:b/>
          <w:bCs/>
          <w:sz w:val="20"/>
          <w:szCs w:val="20"/>
        </w:rPr>
        <w:t>4.1.4.  Habilitação Jurídica:</w:t>
      </w:r>
    </w:p>
    <w:p>
      <w:pPr>
        <w:pStyle w:val="Textoprformatado"/>
        <w:spacing w:lineRule="auto" w:line="240"/>
        <w:jc w:val="both"/>
        <w:rPr/>
      </w:pPr>
      <w:r>
        <w:rPr>
          <w:rStyle w:val="Cdigo-fonte"/>
          <w:rFonts w:cs="Arial" w:ascii="Verdana" w:hAnsi="Verdana"/>
          <w:sz w:val="20"/>
          <w:szCs w:val="20"/>
        </w:rPr>
        <w:t xml:space="preserve">a) Cópia da Cédula de Identidade (RG, ou Habilitação, ou Passaporte, ou Carteira Profissional); </w:t>
      </w:r>
    </w:p>
    <w:p>
      <w:pPr>
        <w:pStyle w:val="Textoprformatado"/>
        <w:spacing w:lineRule="auto" w:line="240"/>
        <w:jc w:val="both"/>
        <w:rPr/>
      </w:pPr>
      <w:r>
        <w:rPr>
          <w:rStyle w:val="Cdigo-fonte"/>
          <w:rFonts w:cs="Arial" w:ascii="Verdana" w:hAnsi="Verdana"/>
          <w:sz w:val="20"/>
          <w:szCs w:val="20"/>
        </w:rPr>
        <w:t xml:space="preserve">b) Certidão da matrícula na Junta Comercial do Estado do Espírito Santo - JUCEES, emitida em data posterior a publicação do Edital de Credenciamento, comprovando o registro naquela junta como Leiloeiro Oficial, bem como sua regularidade para o exercício da serventia, na forma das disposições do Decreto n.º 21.981/32 e IN DREI 72/2019 </w:t>
      </w:r>
    </w:p>
    <w:p>
      <w:pPr>
        <w:pStyle w:val="Textoprformatado"/>
        <w:spacing w:lineRule="auto" w:line="240"/>
        <w:jc w:val="both"/>
        <w:rPr/>
      </w:pPr>
      <w:r>
        <w:rPr>
          <w:rStyle w:val="Cdigo-fonte"/>
          <w:rFonts w:cs="Arial" w:ascii="Verdana" w:hAnsi="Verdana"/>
          <w:sz w:val="20"/>
          <w:szCs w:val="20"/>
        </w:rPr>
        <w:t>c) Certidão emitida pelos Cartórios de Distribuição do domicílio do leiloeiro referentes ao cível, que poderá ser solicitada no site www.tjes.jus.br;</w:t>
      </w:r>
    </w:p>
    <w:p>
      <w:pPr>
        <w:pStyle w:val="Textoprformatado"/>
        <w:spacing w:lineRule="auto" w:line="240"/>
        <w:jc w:val="both"/>
        <w:rPr/>
      </w:pPr>
      <w:r>
        <w:rPr>
          <w:rStyle w:val="Cdigo-fonte"/>
          <w:rFonts w:cs="Arial" w:ascii="Verdana" w:hAnsi="Verdana"/>
          <w:sz w:val="20"/>
          <w:szCs w:val="20"/>
        </w:rPr>
        <w:t>d) Certidão emitida pelos Cartórios de Distribuição do domicílio do leiloeiro referentes ao criminal, que poderá ser solicitada no site www.tjes.jus.br;</w:t>
      </w:r>
    </w:p>
    <w:p>
      <w:pPr>
        <w:pStyle w:val="Textoprformatado"/>
        <w:spacing w:lineRule="auto" w:line="240"/>
        <w:jc w:val="both"/>
        <w:rPr/>
      </w:pPr>
      <w:r>
        <w:rPr>
          <w:rStyle w:val="Cdigo-fonte"/>
          <w:rFonts w:cs="Arial" w:ascii="Verdana" w:hAnsi="Verdana"/>
          <w:sz w:val="20"/>
          <w:szCs w:val="20"/>
        </w:rPr>
        <w:t xml:space="preserve">e) Certidão emitida pelos Cartórios de Distribuição do domicílio do leiloeiro referentes a execução fiscal, que poderá ser solicitada no site www.tjes.jus.br; </w:t>
      </w:r>
    </w:p>
    <w:p>
      <w:pPr>
        <w:pStyle w:val="Textoprformatado"/>
        <w:spacing w:lineRule="auto" w:line="240"/>
        <w:jc w:val="both"/>
        <w:rPr/>
      </w:pPr>
      <w:r>
        <w:rPr>
          <w:rStyle w:val="Cdigo-fonte"/>
          <w:rFonts w:cs="Arial" w:ascii="Verdana" w:hAnsi="Verdana"/>
          <w:sz w:val="20"/>
          <w:szCs w:val="20"/>
        </w:rPr>
        <w:t>f) Certidão emitida pelos Cartórios de Distribuição do domicílio do leiloeiro referentes à Certidão emitida pela Justiça Federal, que poderá ser solicitada no site www.jfes.jus.br.</w:t>
      </w:r>
    </w:p>
    <w:p>
      <w:pPr>
        <w:pStyle w:val="Textoprformatado"/>
        <w:spacing w:lineRule="auto" w:line="240"/>
        <w:jc w:val="both"/>
        <w:rPr>
          <w:rFonts w:ascii="Verdana" w:hAnsi="Verdana" w:cs="Arial"/>
          <w:b/>
          <w:bCs/>
          <w:sz w:val="20"/>
          <w:szCs w:val="20"/>
        </w:rPr>
      </w:pPr>
      <w:r>
        <w:rPr>
          <w:rFonts w:cs="Arial" w:ascii="Verdana" w:hAnsi="Verdana"/>
          <w:b/>
          <w:bCs/>
          <w:sz w:val="20"/>
          <w:szCs w:val="20"/>
        </w:rPr>
      </w:r>
    </w:p>
    <w:p>
      <w:pPr>
        <w:pStyle w:val="Textoprformatado"/>
        <w:spacing w:lineRule="auto" w:line="240"/>
        <w:jc w:val="both"/>
        <w:rPr/>
      </w:pPr>
      <w:r>
        <w:rPr>
          <w:rStyle w:val="Cdigo-fonte"/>
          <w:rFonts w:cs="Arial" w:ascii="Verdana" w:hAnsi="Verdana"/>
          <w:b/>
          <w:bCs/>
          <w:sz w:val="20"/>
          <w:szCs w:val="20"/>
        </w:rPr>
        <w:t>4.1.5. Regularidade Fiscal E Trabalhista</w:t>
      </w:r>
    </w:p>
    <w:p>
      <w:pPr>
        <w:pStyle w:val="Textoprformatado"/>
        <w:spacing w:lineRule="auto" w:line="240"/>
        <w:jc w:val="both"/>
        <w:rPr/>
      </w:pPr>
      <w:r>
        <w:rPr>
          <w:rStyle w:val="Cdigo-fonte"/>
          <w:rFonts w:cs="Arial" w:ascii="Verdana" w:hAnsi="Verdana"/>
          <w:sz w:val="20"/>
          <w:szCs w:val="20"/>
        </w:rPr>
        <w:t xml:space="preserve">a) Cópia de inscrição no Cadastro de Pessoas Físicas - CPF; </w:t>
      </w:r>
    </w:p>
    <w:p>
      <w:pPr>
        <w:pStyle w:val="Textoprformatado"/>
        <w:spacing w:lineRule="auto" w:line="240"/>
        <w:jc w:val="both"/>
        <w:rPr/>
      </w:pPr>
      <w:r>
        <w:rPr>
          <w:rStyle w:val="Cdigo-fonte"/>
          <w:rFonts w:cs="Arial" w:ascii="Verdana" w:hAnsi="Verdana"/>
          <w:sz w:val="20"/>
          <w:szCs w:val="20"/>
        </w:rPr>
        <w:t xml:space="preserve">b) Prova de regularidade com a Fazenda Pública Federal, referente à Certidão de Débitos relativos a Créditos Tributários Federais e à Dívida Ativa da União, que poderá ser solicitada no site http://receita.economia.gov.br; </w:t>
      </w:r>
    </w:p>
    <w:p>
      <w:pPr>
        <w:pStyle w:val="Textoprformatado"/>
        <w:spacing w:lineRule="auto" w:line="240"/>
        <w:jc w:val="both"/>
        <w:rPr/>
      </w:pPr>
      <w:r>
        <w:rPr>
          <w:rStyle w:val="Cdigo-fonte"/>
          <w:rFonts w:cs="Arial" w:ascii="Verdana" w:hAnsi="Verdana"/>
          <w:sz w:val="20"/>
          <w:szCs w:val="20"/>
        </w:rPr>
        <w:t>c) Prova de regularidade com a Fazenda Estadual, que poderá ser solicitada no site https://internet.sefaz.es.gov.br;</w:t>
      </w:r>
    </w:p>
    <w:p>
      <w:pPr>
        <w:pStyle w:val="Textoprformatado"/>
        <w:spacing w:lineRule="auto" w:line="240"/>
        <w:jc w:val="both"/>
        <w:rPr/>
      </w:pPr>
      <w:r>
        <w:rPr>
          <w:rStyle w:val="Cdigo-fonte"/>
          <w:rFonts w:cs="Arial" w:ascii="Verdana" w:hAnsi="Verdana"/>
          <w:sz w:val="20"/>
          <w:szCs w:val="20"/>
        </w:rPr>
        <w:t>d) Prova de regularidade com a Fazenda Pública Municipal referente ao domicílio do interessado e do Município de São Gabriel da Palha – ES;</w:t>
      </w:r>
    </w:p>
    <w:p>
      <w:pPr>
        <w:pStyle w:val="Textoprformatado"/>
        <w:spacing w:lineRule="auto" w:line="240"/>
        <w:jc w:val="both"/>
        <w:rPr/>
      </w:pPr>
      <w:r>
        <w:rPr>
          <w:rStyle w:val="Cdigo-fonte"/>
          <w:rFonts w:cs="Arial" w:ascii="Verdana" w:hAnsi="Verdana"/>
          <w:sz w:val="20"/>
          <w:szCs w:val="20"/>
        </w:rPr>
        <w:t xml:space="preserve">e) Prova de inexistência de débitos inadimplidos perante a Justiça do Trabalho, mediante a apresentação de certidão negativa, nos termos do Título VII-A da Consolidação das Leis do Trabalho, aprovada pelo Decreto-Lei n.º 5.452, de 1º de maio de 1943, que poderá ser retirada no site http://www.tst.jus.br. </w:t>
      </w:r>
    </w:p>
    <w:p>
      <w:pPr>
        <w:pStyle w:val="Textoprformatado"/>
        <w:spacing w:lineRule="auto" w:line="240"/>
        <w:jc w:val="both"/>
        <w:rPr>
          <w:rFonts w:ascii="Verdana" w:hAnsi="Verdana" w:cs="Arial"/>
          <w:sz w:val="20"/>
          <w:szCs w:val="20"/>
        </w:rPr>
      </w:pPr>
      <w:r>
        <w:rPr>
          <w:rFonts w:cs="Arial" w:ascii="Verdana" w:hAnsi="Verdana"/>
          <w:sz w:val="20"/>
          <w:szCs w:val="20"/>
        </w:rPr>
      </w:r>
    </w:p>
    <w:p>
      <w:pPr>
        <w:pStyle w:val="Textoprformatado"/>
        <w:spacing w:lineRule="auto" w:line="240"/>
        <w:jc w:val="both"/>
        <w:rPr/>
      </w:pPr>
      <w:r>
        <w:rPr>
          <w:rStyle w:val="Cdigo-fonte"/>
          <w:rFonts w:cs="Arial" w:ascii="Verdana" w:hAnsi="Verdana"/>
          <w:b/>
          <w:bCs/>
          <w:sz w:val="20"/>
          <w:szCs w:val="20"/>
        </w:rPr>
        <w:t>4.1.6. Qualificação Técnica:</w:t>
      </w:r>
    </w:p>
    <w:p>
      <w:pPr>
        <w:pStyle w:val="Textoprformatado"/>
        <w:spacing w:lineRule="auto" w:line="240"/>
        <w:jc w:val="both"/>
        <w:rPr/>
      </w:pPr>
      <w:r>
        <w:rPr>
          <w:rStyle w:val="Cdigo-fonte"/>
          <w:rFonts w:cs="Arial" w:ascii="Verdana" w:hAnsi="Verdana"/>
          <w:b/>
          <w:bCs/>
          <w:sz w:val="20"/>
          <w:szCs w:val="20"/>
        </w:rPr>
        <w:t>A) Atestado De Capacidade Técnica:</w:t>
      </w:r>
    </w:p>
    <w:p>
      <w:pPr>
        <w:pStyle w:val="Textoprformatado"/>
        <w:spacing w:lineRule="auto" w:line="240"/>
        <w:jc w:val="both"/>
        <w:rPr/>
      </w:pPr>
      <w:r>
        <w:rPr>
          <w:rStyle w:val="Cdigo-fonte"/>
          <w:rFonts w:cs="Arial" w:ascii="Verdana" w:hAnsi="Verdana"/>
          <w:sz w:val="20"/>
          <w:szCs w:val="20"/>
        </w:rPr>
        <w:t xml:space="preserve">Comprovação de que o proponente presta ou prestou, sem restrição, serviço de natureza semelhante ao objeto do credenciamento, ou seja, ter realizado Leilão de Bens Móveis. A comprovação será feita por meio de apresentação de ao menos 01 (um) atestado, devidamente assinado, em papel timbrado do tomador do serviço; </w:t>
      </w:r>
    </w:p>
    <w:p>
      <w:pPr>
        <w:pStyle w:val="Textoprformatado"/>
        <w:spacing w:lineRule="auto" w:line="240"/>
        <w:jc w:val="both"/>
        <w:rPr/>
      </w:pPr>
      <w:r>
        <w:rPr>
          <w:rStyle w:val="Cdigo-fonte"/>
          <w:rFonts w:cs="Arial" w:ascii="Verdana" w:hAnsi="Verdana"/>
          <w:sz w:val="20"/>
          <w:szCs w:val="20"/>
        </w:rPr>
        <w:t>1. O atestado apresentado deverá conter o nome, CNPJ, endereço, telefone e email do declarante e ser devidamente assinado;</w:t>
      </w:r>
    </w:p>
    <w:p>
      <w:pPr>
        <w:pStyle w:val="Textoprformatado"/>
        <w:spacing w:lineRule="auto" w:line="240"/>
        <w:jc w:val="both"/>
        <w:rPr/>
      </w:pPr>
      <w:r>
        <w:rPr>
          <w:rStyle w:val="Cdigo-fonte"/>
          <w:rFonts w:cs="Arial" w:ascii="Verdana" w:hAnsi="Verdana"/>
          <w:sz w:val="20"/>
          <w:szCs w:val="20"/>
        </w:rPr>
        <w:t xml:space="preserve">a) TERMO DE COMPROMISSO, conforme modelo constante do Anexo III do Edital de Credenciamento nº 001/2025; </w:t>
      </w:r>
    </w:p>
    <w:p>
      <w:pPr>
        <w:pStyle w:val="Textoprformatado"/>
        <w:spacing w:lineRule="auto" w:line="240"/>
        <w:jc w:val="both"/>
        <w:rPr/>
      </w:pPr>
      <w:r>
        <w:rPr>
          <w:rStyle w:val="Cdigo-fonte"/>
          <w:rFonts w:cs="Arial" w:ascii="Verdana" w:hAnsi="Verdana"/>
          <w:sz w:val="20"/>
          <w:szCs w:val="20"/>
        </w:rPr>
        <w:t>b) DECLARAÇÃO DE INFRAESTRUTURA, conforme modelo constante do Anexo IV deste Termo de Referência;</w:t>
      </w:r>
    </w:p>
    <w:p>
      <w:pPr>
        <w:pStyle w:val="Textoprformatado"/>
        <w:spacing w:lineRule="auto" w:line="240"/>
        <w:jc w:val="both"/>
        <w:rPr/>
      </w:pPr>
      <w:r>
        <w:rPr>
          <w:rStyle w:val="Cdigo-fonte"/>
          <w:rFonts w:cs="Arial" w:ascii="Verdana" w:hAnsi="Verdana"/>
          <w:sz w:val="20"/>
          <w:szCs w:val="20"/>
        </w:rPr>
        <w:t>c) DECLARAÇÃO, expedida pelo proponente, de que possui condições de realizar Leilões presenciais e on-line, com transmissão ao vivo de áudio e vídeo simultaneamente, atendendo às seguintes exigências:</w:t>
      </w:r>
    </w:p>
    <w:p>
      <w:pPr>
        <w:pStyle w:val="Textoprformatado"/>
        <w:spacing w:lineRule="auto" w:line="240"/>
        <w:jc w:val="both"/>
        <w:rPr/>
      </w:pPr>
      <w:r>
        <w:rPr>
          <w:rStyle w:val="Cdigo-fonte"/>
          <w:rFonts w:cs="Arial" w:ascii="Verdana" w:hAnsi="Verdana"/>
          <w:sz w:val="20"/>
          <w:szCs w:val="20"/>
        </w:rPr>
        <w:t>I. Possibilitar, no Leilão eletrônico, a projeção em tela de tamanho visível e legível a todos os participantes do Leilão presencial, da descrição do lote e dos respectivos lances recebidos, ou ainda os ofertados via internet, bem como dos lotes que não receberam lances após serem ofertados;</w:t>
      </w:r>
    </w:p>
    <w:p>
      <w:pPr>
        <w:pStyle w:val="Textoprformatado"/>
        <w:spacing w:lineRule="auto" w:line="240"/>
        <w:jc w:val="both"/>
        <w:rPr/>
      </w:pPr>
      <w:r>
        <w:rPr>
          <w:rStyle w:val="Cdigo-fonte"/>
          <w:rFonts w:cs="Arial" w:ascii="Verdana" w:hAnsi="Verdana"/>
          <w:sz w:val="20"/>
          <w:szCs w:val="20"/>
        </w:rPr>
        <w:t>II. Possibilitar o Leilão on-line, com transmissão ao vivo de áudio e vídeo do leiloeiro no momento do leilão;</w:t>
      </w:r>
    </w:p>
    <w:p>
      <w:pPr>
        <w:pStyle w:val="Textoprformatado"/>
        <w:spacing w:lineRule="auto" w:line="240"/>
        <w:jc w:val="both"/>
        <w:rPr/>
      </w:pPr>
      <w:r>
        <w:rPr>
          <w:rStyle w:val="Cdigo-fonte"/>
          <w:rFonts w:cs="Arial" w:ascii="Verdana" w:hAnsi="Verdana"/>
          <w:sz w:val="20"/>
          <w:szCs w:val="20"/>
        </w:rPr>
        <w:t>III. Possibilitar a realização do Leilão com recepção e estímulo de lances em tempo "real", via internet, e interatividade entre os lances verbais e os lances efetuados eletronicamente;</w:t>
      </w:r>
    </w:p>
    <w:p>
      <w:pPr>
        <w:pStyle w:val="Textoprformatado"/>
        <w:spacing w:lineRule="auto" w:line="240"/>
        <w:jc w:val="both"/>
        <w:rPr/>
      </w:pPr>
      <w:r>
        <w:rPr>
          <w:rStyle w:val="Cdigo-fonte"/>
          <w:rFonts w:cs="Arial" w:ascii="Verdana" w:hAnsi="Verdana"/>
          <w:sz w:val="20"/>
          <w:szCs w:val="20"/>
        </w:rPr>
        <w:t>IV. Possuir mecanismo que permita a apresentação somente de lance de valor superior ao do último lance ofertado, observado o incremento mínimo fixado para o item/lote;</w:t>
      </w:r>
    </w:p>
    <w:p>
      <w:pPr>
        <w:pStyle w:val="Textoprformatado"/>
        <w:spacing w:lineRule="auto" w:line="240"/>
        <w:jc w:val="both"/>
        <w:rPr/>
      </w:pPr>
      <w:r>
        <w:rPr>
          <w:rStyle w:val="Cdigo-fonte"/>
          <w:rFonts w:cs="Arial" w:ascii="Verdana" w:hAnsi="Verdana"/>
          <w:sz w:val="20"/>
          <w:szCs w:val="20"/>
        </w:rPr>
        <w:t>V. Possibilitar que a cada lance, via internet ou presencial, seja o participante informado, de imediato, do recebimento do lance ofertado;</w:t>
      </w:r>
    </w:p>
    <w:p>
      <w:pPr>
        <w:pStyle w:val="Textoprformatado"/>
        <w:spacing w:lineRule="auto" w:line="240"/>
        <w:jc w:val="both"/>
        <w:rPr/>
      </w:pPr>
      <w:r>
        <w:rPr>
          <w:rStyle w:val="Cdigo-fonte"/>
          <w:rFonts w:cs="Arial" w:ascii="Verdana" w:hAnsi="Verdana"/>
          <w:sz w:val="20"/>
          <w:szCs w:val="20"/>
        </w:rPr>
        <w:t>VI. Deter disponibilidade de site para realização de leilão, que possibilite a realização de Leilão pela internet, inclusive com lances on-line, e que permita a visualização de fotos dos bens ofertados;</w:t>
      </w:r>
    </w:p>
    <w:p>
      <w:pPr>
        <w:pStyle w:val="Textoprformatado"/>
        <w:spacing w:lineRule="auto" w:line="240"/>
        <w:jc w:val="both"/>
        <w:rPr/>
      </w:pPr>
      <w:r>
        <w:rPr>
          <w:rStyle w:val="Cdigo-fonte"/>
          <w:rFonts w:cs="Arial" w:ascii="Verdana" w:hAnsi="Verdana"/>
          <w:sz w:val="20"/>
          <w:szCs w:val="20"/>
        </w:rPr>
        <w:t xml:space="preserve">e) DECLARAÇÃO, expedida pelo proponente, de que divulgará o evento em endereço eletrônico, bem como em material impresso e outros meios de comunicação de grande alcance, de forma a conter, no mínimo, as seguintes informações: características dos bens; fotos; editais; contatos do leiloeiro e outros; </w:t>
      </w:r>
    </w:p>
    <w:p>
      <w:pPr>
        <w:pStyle w:val="Textoprformatado"/>
        <w:spacing w:lineRule="auto" w:line="240"/>
        <w:jc w:val="both"/>
        <w:rPr/>
      </w:pPr>
      <w:r>
        <w:rPr>
          <w:rStyle w:val="Cdigo-fonte"/>
          <w:rFonts w:cs="Arial" w:ascii="Verdana" w:hAnsi="Verdana"/>
          <w:sz w:val="20"/>
          <w:szCs w:val="20"/>
        </w:rPr>
        <w:t xml:space="preserve">f) DECLARAÇÃO, expedida pelo proponente, de que todas as despesas inerentes à execução dos leilões correrão por sua conta, inclusive nos casos de suspensão, revogação ou anulação do Leilão, por decisão judicial ou administrativa, não cabendo à SEMAD/PMSGP nenhuma responsabilização; </w:t>
      </w:r>
    </w:p>
    <w:p>
      <w:pPr>
        <w:pStyle w:val="Textoprformatado"/>
        <w:spacing w:lineRule="auto" w:line="240"/>
        <w:jc w:val="both"/>
        <w:rPr/>
      </w:pPr>
      <w:r>
        <w:rPr>
          <w:rStyle w:val="Cdigo-fonte"/>
          <w:rFonts w:cs="Arial" w:ascii="Verdana" w:hAnsi="Verdana"/>
          <w:sz w:val="20"/>
          <w:szCs w:val="20"/>
        </w:rPr>
        <w:t xml:space="preserve">g) DECLARAÇÃO DE CIÊNCIA, expedida pelo proponente, de que não será devida pela Administração nenhuma comissão ao Leiloeiro; </w:t>
      </w:r>
    </w:p>
    <w:p>
      <w:pPr>
        <w:pStyle w:val="Textoprformatado"/>
        <w:spacing w:lineRule="auto" w:line="240"/>
        <w:jc w:val="both"/>
        <w:rPr/>
      </w:pPr>
      <w:r>
        <w:rPr>
          <w:rStyle w:val="Cdigo-fonte"/>
          <w:rFonts w:cs="Arial" w:ascii="Verdana" w:hAnsi="Verdana"/>
          <w:sz w:val="20"/>
          <w:szCs w:val="20"/>
        </w:rPr>
        <w:t>h) DECLARAÇÃO, expedida pelo proponente indicando o endereço eletrônico por meio do qual realizará os leilões. Deverá constar da declaração, conforme o caso concreto, que a página possui todos os requisitos de segurança e confiabilidade para a realização de leilões atendendo aos requisitos do edital em referência.</w:t>
      </w:r>
    </w:p>
    <w:p>
      <w:pPr>
        <w:pStyle w:val="Textoprformatado"/>
        <w:spacing w:lineRule="auto" w:line="240"/>
        <w:jc w:val="both"/>
        <w:rPr/>
      </w:pPr>
      <w:r>
        <w:rPr>
          <w:rStyle w:val="Cdigo-fonte"/>
          <w:rFonts w:cs="Arial" w:ascii="Verdana" w:hAnsi="Verdana"/>
          <w:sz w:val="20"/>
          <w:szCs w:val="20"/>
        </w:rPr>
        <w:t xml:space="preserve">i) DECLARAÇÃO, expedida pelo proponente, de que não é servidor, ocupante de cargo em comissão, terceirizado ou estagiário de qualquer Órgão ou Entidade da Administração Direta ou Indireta no Estado do Espírito Santo. </w:t>
      </w:r>
    </w:p>
    <w:p>
      <w:pPr>
        <w:pStyle w:val="Textoprformatado"/>
        <w:spacing w:lineRule="auto" w:line="240"/>
        <w:jc w:val="both"/>
        <w:rPr/>
      </w:pPr>
      <w:r>
        <w:rPr>
          <w:rStyle w:val="Cdigo-fonte"/>
          <w:rFonts w:cs="Arial" w:ascii="Verdana" w:hAnsi="Verdana"/>
          <w:sz w:val="20"/>
          <w:szCs w:val="20"/>
        </w:rPr>
        <w:t>5.3.4. As cópias dos documentos acima relacionados deverão ser apresentadas autenticadas, podendo ser autenticadas por servidor designado para esta finalidade, mediante a conferência dos originais.</w:t>
      </w:r>
    </w:p>
    <w:p>
      <w:pPr>
        <w:pStyle w:val="Textoprformatado"/>
        <w:spacing w:lineRule="auto" w:line="240"/>
        <w:jc w:val="both"/>
        <w:rPr>
          <w:rFonts w:ascii="Verdana" w:hAnsi="Verdana" w:cs="Arial"/>
          <w:sz w:val="20"/>
          <w:szCs w:val="20"/>
        </w:rPr>
      </w:pPr>
      <w:r>
        <w:rPr>
          <w:rFonts w:cs="Arial" w:ascii="Verdana" w:hAnsi="Verdana"/>
          <w:sz w:val="20"/>
          <w:szCs w:val="20"/>
        </w:rPr>
      </w:r>
    </w:p>
    <w:p>
      <w:pPr>
        <w:pStyle w:val="Textoprformatado"/>
        <w:spacing w:lineRule="auto" w:line="240"/>
        <w:jc w:val="both"/>
        <w:rPr/>
      </w:pPr>
      <w:r>
        <w:rPr>
          <w:rStyle w:val="Cdigo-fonte"/>
          <w:rFonts w:cs="Arial" w:ascii="Verdana" w:hAnsi="Verdana"/>
          <w:b/>
          <w:bCs/>
          <w:sz w:val="20"/>
          <w:szCs w:val="20"/>
        </w:rPr>
        <w:t>5. ESPECIFICAÇÃO DOS SERVIÇOS E RESPONSABILIDADES DO CONTRATADO:</w:t>
      </w:r>
    </w:p>
    <w:p>
      <w:pPr>
        <w:pStyle w:val="Textoprformatado"/>
        <w:spacing w:lineRule="auto" w:line="240"/>
        <w:jc w:val="both"/>
        <w:rPr/>
      </w:pPr>
      <w:r>
        <w:rPr>
          <w:rStyle w:val="Cdigo-fonte"/>
          <w:rFonts w:cs="Arial" w:ascii="Verdana" w:hAnsi="Verdana"/>
          <w:sz w:val="20"/>
          <w:szCs w:val="20"/>
        </w:rPr>
        <w:t>- Quanto ao leilão de bens móveis desafetados (Móveis, veículos e maquinários:</w:t>
      </w:r>
    </w:p>
    <w:p>
      <w:pPr>
        <w:pStyle w:val="Textoprformatado"/>
        <w:spacing w:lineRule="auto" w:line="240"/>
        <w:jc w:val="both"/>
        <w:rPr/>
      </w:pPr>
      <w:r>
        <w:rPr>
          <w:rStyle w:val="Cdigo-fonte"/>
          <w:rFonts w:cs="Arial" w:ascii="Verdana" w:hAnsi="Verdana"/>
          <w:sz w:val="20"/>
          <w:szCs w:val="20"/>
        </w:rPr>
        <w:t>5.1. Observar as disposições da Lei nº 14.133/2021 e suas atualizações, do Edital de Credenciamento a que este instrumento se vincula.</w:t>
      </w:r>
    </w:p>
    <w:p>
      <w:pPr>
        <w:pStyle w:val="Textoprformatado"/>
        <w:spacing w:lineRule="auto" w:line="240"/>
        <w:jc w:val="both"/>
        <w:rPr/>
      </w:pPr>
      <w:r>
        <w:rPr>
          <w:rStyle w:val="Cdigo-fonte"/>
          <w:rFonts w:cs="Arial" w:ascii="Verdana" w:hAnsi="Verdana"/>
          <w:sz w:val="20"/>
          <w:szCs w:val="20"/>
        </w:rPr>
        <w:t>5.2. Prestar os serviços de leiloeiro público oficial nos leilões de veículos, demais bens móveis desafetados e bens móveis;</w:t>
      </w:r>
    </w:p>
    <w:p>
      <w:pPr>
        <w:pStyle w:val="Textoprformatado"/>
        <w:spacing w:lineRule="auto" w:line="240"/>
        <w:jc w:val="both"/>
        <w:rPr/>
      </w:pPr>
      <w:r>
        <w:rPr>
          <w:rStyle w:val="Cdigo-fonte"/>
          <w:rFonts w:cs="Arial" w:ascii="Verdana" w:hAnsi="Verdana"/>
          <w:sz w:val="20"/>
          <w:szCs w:val="20"/>
        </w:rPr>
        <w:t>5.3. Promover Leilão eletrônico, ou Leilão eletrônico e presencial simultaneamente, a ser previamente definido pelo CONTRATANTE;</w:t>
      </w:r>
    </w:p>
    <w:p>
      <w:pPr>
        <w:pStyle w:val="Textoprformatado"/>
        <w:spacing w:lineRule="auto" w:line="240"/>
        <w:jc w:val="both"/>
        <w:rPr/>
      </w:pPr>
      <w:r>
        <w:rPr>
          <w:rStyle w:val="Cdigo-fonte"/>
          <w:rFonts w:cs="Arial" w:ascii="Verdana" w:hAnsi="Verdana"/>
          <w:sz w:val="20"/>
          <w:szCs w:val="20"/>
        </w:rPr>
        <w:t>5.4. Em caso de Leilão eletrônico e presencial simultaneamente, disponibilizar o Leilão eletrônico em tempo real à ocorrência do presencial, com transmissão de áudio e vídeo do leiloeiro oficial, possibilitando acesso às informações prestadas ao vivo, de modo a garantir a isonomia do certame;</w:t>
      </w:r>
    </w:p>
    <w:p>
      <w:pPr>
        <w:pStyle w:val="Textoprformatado"/>
        <w:spacing w:lineRule="auto" w:line="240"/>
        <w:jc w:val="both"/>
        <w:rPr/>
      </w:pPr>
      <w:r>
        <w:rPr>
          <w:rStyle w:val="Cdigo-fonte"/>
          <w:rFonts w:cs="Arial" w:ascii="Verdana" w:hAnsi="Verdana"/>
          <w:sz w:val="20"/>
          <w:szCs w:val="20"/>
        </w:rPr>
        <w:t>5.5. Disponibilizar, por meio eletrônico, o Leilão, para lances prévios, com antecedência mínima de 15 (quinze) dias da data de realização do Leilão;</w:t>
      </w:r>
    </w:p>
    <w:p>
      <w:pPr>
        <w:pStyle w:val="Textoprformatado"/>
        <w:spacing w:lineRule="auto" w:line="240"/>
        <w:jc w:val="both"/>
        <w:rPr/>
      </w:pPr>
      <w:r>
        <w:rPr>
          <w:rStyle w:val="Cdigo-fonte"/>
          <w:rFonts w:cs="Arial" w:ascii="Verdana" w:hAnsi="Verdana"/>
          <w:sz w:val="20"/>
          <w:szCs w:val="20"/>
        </w:rPr>
        <w:t>5.6. Disponibilizar representante(s) para acompanhar a comissão especial de credenciamento e leilão da contratante no período de visitação dos interessados nos bens contemplados no certame;</w:t>
      </w:r>
    </w:p>
    <w:p>
      <w:pPr>
        <w:pStyle w:val="Textoprformatado"/>
        <w:spacing w:lineRule="auto" w:line="240"/>
        <w:jc w:val="both"/>
        <w:rPr/>
      </w:pPr>
      <w:r>
        <w:rPr>
          <w:rStyle w:val="Cdigo-fonte"/>
          <w:rFonts w:cs="Arial" w:ascii="Verdana" w:hAnsi="Verdana"/>
          <w:sz w:val="20"/>
          <w:szCs w:val="20"/>
        </w:rPr>
        <w:t>5.7. Agrupar, identificar, vistoriar, marcar, delimitar e fotografar os lotes dos bens móveis, sendo facultada a consulta por escrito ao CONTRATANTE em caso de dúvidas, sem transferência de responsabilidades ao CONTRATANTE;</w:t>
      </w:r>
    </w:p>
    <w:p>
      <w:pPr>
        <w:pStyle w:val="Textoprformatado"/>
        <w:spacing w:lineRule="auto" w:line="240"/>
        <w:jc w:val="both"/>
        <w:rPr/>
      </w:pPr>
      <w:r>
        <w:rPr>
          <w:rStyle w:val="Cdigo-fonte"/>
          <w:rFonts w:cs="Arial" w:ascii="Verdana" w:hAnsi="Verdana"/>
          <w:sz w:val="20"/>
          <w:szCs w:val="20"/>
        </w:rPr>
        <w:t>5.8. Identificar e delimitar todos os lotes, exceto veículos de tração mecânica, utilizando fita zebrada ou outro meio físico de identificação que os circunscreva e delimite sua especificidade e composição, permitindo o seu perfeito discernimento dos demais lotes;</w:t>
      </w:r>
    </w:p>
    <w:p>
      <w:pPr>
        <w:pStyle w:val="Textoprformatado"/>
        <w:spacing w:lineRule="auto" w:line="240"/>
        <w:jc w:val="both"/>
        <w:rPr/>
      </w:pPr>
      <w:r>
        <w:rPr>
          <w:rStyle w:val="Cdigo-fonte"/>
          <w:rFonts w:cs="Arial" w:ascii="Verdana" w:hAnsi="Verdana"/>
          <w:sz w:val="20"/>
          <w:szCs w:val="20"/>
        </w:rPr>
        <w:t>5.9. Fotografar cada lote de bens móveis, de forma a permitir a sua identificação com clareza e o seu perfeito discernimento dos demais lotes;</w:t>
      </w:r>
    </w:p>
    <w:p>
      <w:pPr>
        <w:pStyle w:val="Textoprformatado"/>
        <w:spacing w:lineRule="auto" w:line="240"/>
        <w:jc w:val="both"/>
        <w:rPr/>
      </w:pPr>
      <w:r>
        <w:rPr>
          <w:rStyle w:val="Cdigo-fonte"/>
          <w:rFonts w:cs="Arial" w:ascii="Verdana" w:hAnsi="Verdana"/>
          <w:sz w:val="20"/>
          <w:szCs w:val="20"/>
        </w:rPr>
        <w:t>5.10. Fotografar os veículos, de forma que as fotos a serem dispostas no site do leiloeiro contemplem no mínimo a frente, ambos os lados, a traseira, o interior, o motor e o chassi do veículo, exceto nos casos de bem avariado ou outros impedimentos que inviabilizem fotografar, sendo necessárias 7 (sete) fotos por veículo, no mínimo;</w:t>
      </w:r>
    </w:p>
    <w:p>
      <w:pPr>
        <w:pStyle w:val="Textoprformatado"/>
        <w:spacing w:lineRule="auto" w:line="240"/>
        <w:jc w:val="both"/>
        <w:rPr/>
      </w:pPr>
      <w:r>
        <w:rPr>
          <w:rStyle w:val="Cdigo-fonte"/>
          <w:rFonts w:cs="Arial" w:ascii="Verdana" w:hAnsi="Verdana"/>
          <w:sz w:val="20"/>
          <w:szCs w:val="20"/>
        </w:rPr>
        <w:t>5.11. Conferir as informações e documentos recebidos, ainda que obtidas de repartições públicas ou de terceiros, efetuando todas as correções aplicáveis, sob sua inteira responsabilidade, na forma da lei.</w:t>
      </w:r>
    </w:p>
    <w:p>
      <w:pPr>
        <w:pStyle w:val="Textoprformatado"/>
        <w:spacing w:lineRule="auto" w:line="240"/>
        <w:jc w:val="both"/>
        <w:rPr/>
      </w:pPr>
      <w:r>
        <w:rPr>
          <w:rStyle w:val="Cdigo-fonte"/>
          <w:rFonts w:cs="Arial" w:ascii="Verdana" w:hAnsi="Verdana"/>
          <w:sz w:val="20"/>
          <w:szCs w:val="20"/>
        </w:rPr>
        <w:t>5.12. Verificar junto ao DETRAN a numeração do chassi e do motor, bem como débitos, impedimentos judiciais, administrativos e congêneres, comunicando à SEMAD/PMSGP as ocorrências encontradas, sem prejuízo da sua inteira responsabilidade quanto às informações relacionadas às pendências e/ou irregularidades em todos os meios de divulgação do Leilão, ou seja, catálogos, sites, panfletos e afins;</w:t>
      </w:r>
    </w:p>
    <w:p>
      <w:pPr>
        <w:pStyle w:val="Textoprformatado"/>
        <w:spacing w:lineRule="auto" w:line="240"/>
        <w:jc w:val="both"/>
        <w:rPr/>
      </w:pPr>
      <w:r>
        <w:rPr>
          <w:rStyle w:val="Cdigo-fonte"/>
          <w:rFonts w:cs="Arial" w:ascii="Verdana" w:hAnsi="Verdana"/>
          <w:sz w:val="20"/>
          <w:szCs w:val="20"/>
        </w:rPr>
        <w:t>5.13. Disponibilizar catálogos pertinentes aos leilões, sendo catálogo impresso para leilão presencial e catálogo virtual para Leilão eletrônico, mediante a aprovação da SEMAD/PMSGP quanto à sua formatação. A ausência de divulgação da descrição correta e restrições que recaiam sobre os bens são de inteira responsabilidade do leiloeiro oficial, sendo os catálogos impressos distribuídos, também e previamente, nos locais onde se encontrarem os bens e no local e dia da realização do evento. No caso de catálogo virtual, estes deverão estar disponíveis no site do leiloeiro oficial no mínimo em 15 (quinze) dias que antecedem o certame;</w:t>
      </w:r>
    </w:p>
    <w:p>
      <w:pPr>
        <w:pStyle w:val="Textoprformatado"/>
        <w:spacing w:lineRule="auto" w:line="240"/>
        <w:jc w:val="both"/>
        <w:rPr/>
      </w:pPr>
      <w:r>
        <w:rPr>
          <w:rStyle w:val="Cdigo-fonte"/>
          <w:rFonts w:cs="Arial" w:ascii="Verdana" w:hAnsi="Verdana"/>
          <w:sz w:val="20"/>
          <w:szCs w:val="20"/>
        </w:rPr>
        <w:t>5.14. Confeccionar ou disponibilizar eletronicamente os catálogos do Leilão; quando impressos, em papel Couché ou com qualidade superior. Os catálogos, tanto os impressos quanto os eletrônicos, deverão conter informações, sob exclusiva responsabilidade do CONTRATADO, sendo no mínimo:</w:t>
      </w:r>
    </w:p>
    <w:p>
      <w:pPr>
        <w:pStyle w:val="Textoprformatado"/>
        <w:spacing w:lineRule="auto" w:line="240"/>
        <w:jc w:val="both"/>
        <w:rPr/>
      </w:pPr>
      <w:r>
        <w:rPr>
          <w:rStyle w:val="Cdigo-fonte"/>
          <w:rFonts w:cs="Arial" w:ascii="Verdana" w:hAnsi="Verdana"/>
          <w:sz w:val="20"/>
          <w:szCs w:val="20"/>
        </w:rPr>
        <w:t xml:space="preserve">a) Descrição correta dos bens, débitos, ônus, gravames e quaisquer restrições incidentes; </w:t>
      </w:r>
    </w:p>
    <w:p>
      <w:pPr>
        <w:pStyle w:val="Textoprformatado"/>
        <w:spacing w:lineRule="auto" w:line="240"/>
        <w:jc w:val="both"/>
        <w:rPr/>
      </w:pPr>
      <w:r>
        <w:rPr>
          <w:rStyle w:val="Cdigo-fonte"/>
          <w:rFonts w:cs="Arial" w:ascii="Verdana" w:hAnsi="Verdana"/>
          <w:sz w:val="20"/>
          <w:szCs w:val="20"/>
        </w:rPr>
        <w:t xml:space="preserve">b) Órgão/Entidade promotor do Leilão; </w:t>
      </w:r>
    </w:p>
    <w:p>
      <w:pPr>
        <w:pStyle w:val="Textoprformatado"/>
        <w:spacing w:lineRule="auto" w:line="240"/>
        <w:jc w:val="both"/>
        <w:rPr/>
      </w:pPr>
      <w:r>
        <w:rPr>
          <w:rStyle w:val="Cdigo-fonte"/>
          <w:rFonts w:cs="Arial" w:ascii="Verdana" w:hAnsi="Verdana"/>
          <w:sz w:val="20"/>
          <w:szCs w:val="20"/>
        </w:rPr>
        <w:t>c) Data do Leilão, com horário de início e previsão de término;</w:t>
      </w:r>
    </w:p>
    <w:p>
      <w:pPr>
        <w:pStyle w:val="Textoprformatado"/>
        <w:spacing w:lineRule="auto" w:line="240"/>
        <w:jc w:val="both"/>
        <w:rPr/>
      </w:pPr>
      <w:r>
        <w:rPr>
          <w:rStyle w:val="Cdigo-fonte"/>
          <w:rFonts w:cs="Arial" w:ascii="Verdana" w:hAnsi="Verdana"/>
          <w:sz w:val="20"/>
          <w:szCs w:val="20"/>
        </w:rPr>
        <w:t>d) Local do Leilão;</w:t>
      </w:r>
    </w:p>
    <w:p>
      <w:pPr>
        <w:pStyle w:val="Textoprformatado"/>
        <w:spacing w:lineRule="auto" w:line="240"/>
        <w:jc w:val="both"/>
        <w:rPr/>
      </w:pPr>
      <w:r>
        <w:rPr>
          <w:rStyle w:val="Cdigo-fonte"/>
          <w:rFonts w:cs="Arial" w:ascii="Verdana" w:hAnsi="Verdana"/>
          <w:sz w:val="20"/>
          <w:szCs w:val="20"/>
        </w:rPr>
        <w:t xml:space="preserve">e) Local de visitação dos bens, com data, horário de início e término das visitações; </w:t>
      </w:r>
    </w:p>
    <w:p>
      <w:pPr>
        <w:pStyle w:val="Textoprformatado"/>
        <w:spacing w:lineRule="auto" w:line="240"/>
        <w:jc w:val="both"/>
        <w:rPr/>
      </w:pPr>
      <w:r>
        <w:rPr>
          <w:rStyle w:val="Cdigo-fonte"/>
          <w:rFonts w:cs="Arial" w:ascii="Verdana" w:hAnsi="Verdana"/>
          <w:sz w:val="20"/>
          <w:szCs w:val="20"/>
        </w:rPr>
        <w:t>f) Endereço eletrônico próprio para visualização dos bens e para realização do certame;</w:t>
      </w:r>
    </w:p>
    <w:p>
      <w:pPr>
        <w:pStyle w:val="Textoprformatado"/>
        <w:spacing w:lineRule="auto" w:line="240"/>
        <w:jc w:val="both"/>
        <w:rPr/>
      </w:pPr>
      <w:r>
        <w:rPr>
          <w:rStyle w:val="Cdigo-fonte"/>
          <w:rFonts w:cs="Arial" w:ascii="Verdana" w:hAnsi="Verdana"/>
          <w:sz w:val="20"/>
          <w:szCs w:val="20"/>
        </w:rPr>
        <w:t>g) Endereço do escritório, telefones e e-mails de contato do leiloeiro, para dirimirem-se dúvidas e realizarem-se os atendimentos aos arrematantes e à Contratante;</w:t>
      </w:r>
    </w:p>
    <w:p>
      <w:pPr>
        <w:pStyle w:val="Textoprformatado"/>
        <w:spacing w:lineRule="auto" w:line="240"/>
        <w:jc w:val="both"/>
        <w:rPr/>
      </w:pPr>
      <w:r>
        <w:rPr>
          <w:rStyle w:val="Cdigo-fonte"/>
          <w:rFonts w:cs="Arial" w:ascii="Verdana" w:hAnsi="Verdana"/>
          <w:sz w:val="20"/>
          <w:szCs w:val="20"/>
        </w:rPr>
        <w:t xml:space="preserve">h) Informações e condições Gerais sobre o Leilão (Resumo do Edital de Leilão); </w:t>
      </w:r>
    </w:p>
    <w:p>
      <w:pPr>
        <w:pStyle w:val="Textoprformatado"/>
        <w:spacing w:lineRule="auto" w:line="240"/>
        <w:jc w:val="both"/>
        <w:rPr/>
      </w:pPr>
      <w:r>
        <w:rPr>
          <w:rStyle w:val="Cdigo-fonte"/>
          <w:rFonts w:cs="Arial" w:ascii="Verdana" w:hAnsi="Verdana"/>
          <w:sz w:val="20"/>
          <w:szCs w:val="20"/>
        </w:rPr>
        <w:t>i) Listagem dos bens móveis do Leilão, constando o nº do lote, descrição do bem, ano/modelo, placa, tipo de combustível, RENAVAM, débitos do DETRAN ou outros, restrições, ônus, gravames e valor do lance inicial;</w:t>
      </w:r>
    </w:p>
    <w:p>
      <w:pPr>
        <w:pStyle w:val="Textoprformatado"/>
        <w:spacing w:lineRule="auto" w:line="240"/>
        <w:jc w:val="both"/>
        <w:rPr/>
      </w:pPr>
      <w:r>
        <w:rPr>
          <w:rStyle w:val="Cdigo-fonte"/>
          <w:rFonts w:cs="Arial" w:ascii="Verdana" w:hAnsi="Verdana"/>
          <w:sz w:val="20"/>
          <w:szCs w:val="20"/>
        </w:rPr>
        <w:t xml:space="preserve">j) Outras informações, quando solicitadas pelo CONTRATANTE. </w:t>
      </w:r>
    </w:p>
    <w:p>
      <w:pPr>
        <w:pStyle w:val="Textoprformatado"/>
        <w:spacing w:lineRule="auto" w:line="240"/>
        <w:jc w:val="both"/>
        <w:rPr/>
      </w:pPr>
      <w:r>
        <w:rPr>
          <w:rStyle w:val="Cdigo-fonte"/>
          <w:rFonts w:cs="Arial" w:ascii="Verdana" w:hAnsi="Verdana"/>
          <w:sz w:val="20"/>
          <w:szCs w:val="20"/>
        </w:rPr>
        <w:t>5.15. Disponibilizar, no site de realização do Leilão, as informações pertinentes, sob exclusiva responsabilidade do CONTRATADO, contendo, no mínimo:</w:t>
      </w:r>
    </w:p>
    <w:p>
      <w:pPr>
        <w:pStyle w:val="Textoprformatado"/>
        <w:spacing w:lineRule="auto" w:line="240"/>
        <w:jc w:val="both"/>
        <w:rPr/>
      </w:pPr>
      <w:r>
        <w:rPr>
          <w:rStyle w:val="Cdigo-fonte"/>
          <w:rFonts w:cs="Arial" w:ascii="Verdana" w:hAnsi="Verdana"/>
          <w:sz w:val="20"/>
          <w:szCs w:val="20"/>
        </w:rPr>
        <w:t xml:space="preserve">a) Todos os itens que deverão constar dos catálogos de leilão, elencados no tópico retro; </w:t>
      </w:r>
    </w:p>
    <w:p>
      <w:pPr>
        <w:pStyle w:val="Textoprformatado"/>
        <w:spacing w:lineRule="auto" w:line="240"/>
        <w:jc w:val="both"/>
        <w:rPr/>
      </w:pPr>
      <w:r>
        <w:rPr>
          <w:rStyle w:val="Cdigo-fonte"/>
          <w:rFonts w:cs="Arial" w:ascii="Verdana" w:hAnsi="Verdana"/>
          <w:sz w:val="20"/>
          <w:szCs w:val="20"/>
        </w:rPr>
        <w:t xml:space="preserve">b) Edital do Leilão; </w:t>
      </w:r>
    </w:p>
    <w:p>
      <w:pPr>
        <w:pStyle w:val="Textoprformatado"/>
        <w:spacing w:lineRule="auto" w:line="240"/>
        <w:jc w:val="both"/>
        <w:rPr/>
      </w:pPr>
      <w:r>
        <w:rPr>
          <w:rStyle w:val="Cdigo-fonte"/>
          <w:rFonts w:cs="Arial" w:ascii="Verdana" w:hAnsi="Verdana"/>
          <w:sz w:val="20"/>
          <w:szCs w:val="20"/>
        </w:rPr>
        <w:t>c) Orientações aos arrematantes, no respectivo site ou ainda em outros instrumentos de divulgação, quanto aos mecanismos corretos e seguros de pagamento e de retirada dos lotes, visando combater falsificações e quaisquer tentativas de fraude; d) Fotos dos bens móveis em geral, por lotes, com no mínimo 5 (cinco) fotos de cada lote;</w:t>
      </w:r>
    </w:p>
    <w:p>
      <w:pPr>
        <w:pStyle w:val="Textoprformatado"/>
        <w:spacing w:lineRule="auto" w:line="240"/>
        <w:jc w:val="both"/>
        <w:rPr/>
      </w:pPr>
      <w:r>
        <w:rPr>
          <w:rStyle w:val="Cdigo-fonte"/>
          <w:rFonts w:cs="Arial" w:ascii="Verdana" w:hAnsi="Verdana"/>
          <w:sz w:val="20"/>
          <w:szCs w:val="20"/>
        </w:rPr>
        <w:t xml:space="preserve">e) Fotos dos bens móveis por lote, constando no mínimo 7 (sete) fotos de cada lote, e outras que se fizerem necessário para a melhor visualização eletrônica; </w:t>
      </w:r>
    </w:p>
    <w:p>
      <w:pPr>
        <w:pStyle w:val="Textoprformatado"/>
        <w:spacing w:lineRule="auto" w:line="240"/>
        <w:jc w:val="both"/>
        <w:rPr/>
      </w:pPr>
      <w:r>
        <w:rPr>
          <w:rStyle w:val="Cdigo-fonte"/>
          <w:rFonts w:cs="Arial" w:ascii="Verdana" w:hAnsi="Verdana"/>
          <w:sz w:val="20"/>
          <w:szCs w:val="20"/>
        </w:rPr>
        <w:t>5.16. Informar à comissão especial de credenciamento e leilão da contratante (por e-mail), no caso de não ser possível a realização da quantidade mínima das fotos dos bens móveis, para a necessária validação das fotos apresentadas.</w:t>
      </w:r>
    </w:p>
    <w:p>
      <w:pPr>
        <w:pStyle w:val="Textoprformatado"/>
        <w:spacing w:lineRule="auto" w:line="240"/>
        <w:jc w:val="both"/>
        <w:rPr/>
      </w:pPr>
      <w:r>
        <w:rPr>
          <w:rStyle w:val="Cdigo-fonte"/>
          <w:rFonts w:cs="Arial" w:ascii="Verdana" w:hAnsi="Verdana"/>
          <w:sz w:val="20"/>
          <w:szCs w:val="20"/>
        </w:rPr>
        <w:t>5.17. Disponibilizar representante(s) para acompanhar a visitação dos bens e atendimento dos arrematantes, pelo prazo de visitação definido no Edital de Leilão.</w:t>
      </w:r>
    </w:p>
    <w:p>
      <w:pPr>
        <w:pStyle w:val="Textoprformatado"/>
        <w:spacing w:lineRule="auto" w:line="240"/>
        <w:jc w:val="both"/>
        <w:rPr/>
      </w:pPr>
      <w:r>
        <w:rPr>
          <w:rStyle w:val="Cdigo-fonte"/>
          <w:rFonts w:cs="Arial" w:ascii="Verdana" w:hAnsi="Verdana"/>
          <w:sz w:val="20"/>
          <w:szCs w:val="20"/>
        </w:rPr>
        <w:t>5.18. Efetuar, às suas expensas, as publicações no Diário Oficial do Estado do Espírito Santo DOE/ES e Diário Oficial dos Municípios do Estado do Espírito Santo DOM/ES e em jornais de grande circulação.</w:t>
      </w:r>
    </w:p>
    <w:p>
      <w:pPr>
        <w:pStyle w:val="Textoprformatado"/>
        <w:spacing w:lineRule="auto" w:line="240"/>
        <w:jc w:val="both"/>
        <w:rPr/>
      </w:pPr>
      <w:r>
        <w:rPr>
          <w:rStyle w:val="Cdigo-fonte"/>
          <w:rFonts w:cs="Arial" w:ascii="Verdana" w:hAnsi="Verdana"/>
          <w:sz w:val="20"/>
          <w:szCs w:val="20"/>
        </w:rPr>
        <w:t>5.19. Efetuar ampla publicidade do Leilão, divulgando o evento em redes sociais, internet e outros meios de comunicação disponíveis à época.</w:t>
      </w:r>
    </w:p>
    <w:p>
      <w:pPr>
        <w:pStyle w:val="Textoprformatado"/>
        <w:spacing w:lineRule="auto" w:line="240"/>
        <w:jc w:val="both"/>
        <w:rPr/>
      </w:pPr>
      <w:r>
        <w:rPr>
          <w:rStyle w:val="Cdigo-fonte"/>
          <w:rFonts w:cs="Arial" w:ascii="Verdana" w:hAnsi="Verdana"/>
          <w:sz w:val="20"/>
          <w:szCs w:val="20"/>
        </w:rPr>
        <w:t>5.20. Efetuar a publicação do resultado do Leilão no DOE/ES e DOM/ES, antes da entrega da Prestação de Contas ao CONTRATANTE, constando os nºs dos lotes vendidos ou outros dados que permitam identificá-los.</w:t>
      </w:r>
    </w:p>
    <w:p>
      <w:pPr>
        <w:pStyle w:val="Textoprformatado"/>
        <w:spacing w:lineRule="auto" w:line="240"/>
        <w:jc w:val="both"/>
        <w:rPr/>
      </w:pPr>
      <w:r>
        <w:rPr>
          <w:rStyle w:val="Cdigo-fonte"/>
          <w:rFonts w:cs="Arial" w:ascii="Verdana" w:hAnsi="Verdana"/>
          <w:sz w:val="20"/>
          <w:szCs w:val="20"/>
        </w:rPr>
        <w:t>5.21. Manter equipe disponível para atendimento aos arrematantes, até a data da prestação de contas do Leilão, sem prejuízo de atendimento e responsabilidades identificadas posteriormente, em razão do Leilão realizado.</w:t>
      </w:r>
    </w:p>
    <w:p>
      <w:pPr>
        <w:pStyle w:val="Textoprformatado"/>
        <w:spacing w:lineRule="auto" w:line="240"/>
        <w:jc w:val="both"/>
        <w:rPr/>
      </w:pPr>
      <w:r>
        <w:rPr>
          <w:rStyle w:val="Cdigo-fonte"/>
          <w:rFonts w:cs="Arial" w:ascii="Verdana" w:hAnsi="Verdana"/>
          <w:sz w:val="20"/>
          <w:szCs w:val="20"/>
        </w:rPr>
        <w:t>5.22. Realizar o Leilão em local, dia e hora previamente agendado, conforme o Edital de Leilão, reservada ao Contratante a faculdade do seu reagendamento.</w:t>
      </w:r>
    </w:p>
    <w:p>
      <w:pPr>
        <w:pStyle w:val="Textoprformatado"/>
        <w:spacing w:lineRule="auto" w:line="240"/>
        <w:jc w:val="both"/>
        <w:rPr/>
      </w:pPr>
      <w:r>
        <w:rPr>
          <w:rStyle w:val="Cdigo-fonte"/>
          <w:rFonts w:cs="Arial" w:ascii="Verdana" w:hAnsi="Verdana"/>
          <w:sz w:val="20"/>
          <w:szCs w:val="20"/>
        </w:rPr>
        <w:t>5.23. Obedecer ao prazo para visitação dos lotes, sendo, no mínimo, 05 (cinco) dias antes da data de realização do Leilão definido pela CONTRATANTE no Edital, vedado o Leilão de qualquer lote sem o atendimento deste prazo e do prazo para a respectiva publicidade.</w:t>
      </w:r>
    </w:p>
    <w:p>
      <w:pPr>
        <w:pStyle w:val="Textoprformatado"/>
        <w:spacing w:lineRule="auto" w:line="240"/>
        <w:jc w:val="both"/>
        <w:rPr/>
      </w:pPr>
      <w:r>
        <w:rPr>
          <w:rStyle w:val="Cdigo-fonte"/>
          <w:rFonts w:cs="Arial" w:ascii="Verdana" w:hAnsi="Verdana"/>
          <w:sz w:val="20"/>
          <w:szCs w:val="20"/>
        </w:rPr>
        <w:t>5.24. Disponibilizar equipe de apoio com, no mínimo, 06 (seis) pessoas no dia, hora e local do Leilão presencial, para atendimento ao público e realização do evento, ou em quantidade previamente autorizada pela Administração.</w:t>
      </w:r>
    </w:p>
    <w:p>
      <w:pPr>
        <w:pStyle w:val="Textoprformatado"/>
        <w:spacing w:lineRule="auto" w:line="240"/>
        <w:jc w:val="both"/>
        <w:rPr/>
      </w:pPr>
      <w:r>
        <w:rPr>
          <w:rStyle w:val="Cdigo-fonte"/>
          <w:rFonts w:cs="Arial" w:ascii="Verdana" w:hAnsi="Verdana"/>
          <w:sz w:val="20"/>
          <w:szCs w:val="20"/>
        </w:rPr>
        <w:t>5.25. Possuir infraestrutura necessária para a realização do Leilão, como: local, equipamentos de informática, de som, projetor, acesso a internet, e outros necessários à perfeita realização do certame presencial, eletrônico, ou ambos simultaneamente, com transmissão ao vivo do leiloeiro em atividade.</w:t>
      </w:r>
    </w:p>
    <w:p>
      <w:pPr>
        <w:pStyle w:val="Textoprformatado"/>
        <w:spacing w:lineRule="auto" w:line="240"/>
        <w:jc w:val="both"/>
        <w:rPr/>
      </w:pPr>
      <w:r>
        <w:rPr>
          <w:rStyle w:val="Cdigo-fonte"/>
          <w:rFonts w:cs="Arial" w:ascii="Verdana" w:hAnsi="Verdana"/>
          <w:sz w:val="20"/>
          <w:szCs w:val="20"/>
        </w:rPr>
        <w:t>5.26. Disponibilizar o local para a realização do Leilão presencial ou simultaneamente presencial e eletrônico, à sua expensa, devendo ter capacidade mínima para 100 pessoas, possuir ambiente climatizado e de fácil acesso, rede lógica com acesso à internet, equipamentos de informática, som, recursos de projeção de imagem, impressão e outros necessários à perfeita, segura e tempestiva realização do certame presencial, eletrônico, ou ambos simultaneamente, com transmissão ao vivo do leiloeiro em atividade.</w:t>
      </w:r>
    </w:p>
    <w:p>
      <w:pPr>
        <w:pStyle w:val="Textoprformatado"/>
        <w:spacing w:lineRule="auto" w:line="240"/>
        <w:jc w:val="both"/>
        <w:rPr/>
      </w:pPr>
      <w:r>
        <w:rPr>
          <w:rStyle w:val="Cdigo-fonte"/>
          <w:rFonts w:cs="Arial" w:ascii="Verdana" w:hAnsi="Verdana"/>
          <w:sz w:val="20"/>
          <w:szCs w:val="20"/>
        </w:rPr>
        <w:t>5.27. No caso de leilão presencial, o local para a realização do leilão deverá ser situado na cidade de São Gabriel da Palha, sendo necessária a anuência do CONTRATANTE.</w:t>
      </w:r>
    </w:p>
    <w:p>
      <w:pPr>
        <w:pStyle w:val="Textoprformatado"/>
        <w:spacing w:lineRule="auto" w:line="240"/>
        <w:jc w:val="both"/>
        <w:rPr/>
      </w:pPr>
      <w:r>
        <w:rPr>
          <w:rStyle w:val="Cdigo-fonte"/>
          <w:rFonts w:cs="Arial" w:ascii="Verdana" w:hAnsi="Verdana"/>
          <w:sz w:val="20"/>
          <w:szCs w:val="20"/>
        </w:rPr>
        <w:t>5.28. No caso de leilão eletrônico, o local para a realização do leilão poderá ser realizado nas dependências do CONTRATADO, sendo necessária a anuência do CONTRATANTE.</w:t>
      </w:r>
    </w:p>
    <w:p>
      <w:pPr>
        <w:pStyle w:val="Textoprformatado"/>
        <w:spacing w:lineRule="auto" w:line="240"/>
        <w:jc w:val="both"/>
        <w:rPr/>
      </w:pPr>
      <w:r>
        <w:rPr>
          <w:rStyle w:val="Cdigo-fonte"/>
          <w:rFonts w:cs="Arial" w:ascii="Verdana" w:hAnsi="Verdana"/>
          <w:sz w:val="20"/>
          <w:szCs w:val="20"/>
        </w:rPr>
        <w:t>5.29. Possuir infraestrutura necessária para atendimento da Contratante e dos arrematantes, em espaço próprio ou locado, em imóvel comercial, com equipamentos de informática, acesso à internet, recursos e insumos de impressão e todos os demais necessários à prestação de perfeito, seguro e tempestivo atendimento, devida emissão, confrontação, conferência, assinaturas e entrega de Notas de Arrematação, Termo de Entrega, Autorização de Entrega, DUA, entre outros documentos necessários, na forma da lei.</w:t>
      </w:r>
    </w:p>
    <w:p>
      <w:pPr>
        <w:pStyle w:val="Textoprformatado"/>
        <w:spacing w:lineRule="auto" w:line="240"/>
        <w:jc w:val="both"/>
        <w:rPr/>
      </w:pPr>
      <w:r>
        <w:rPr>
          <w:rStyle w:val="Cdigo-fonte"/>
          <w:rFonts w:cs="Arial" w:ascii="Verdana" w:hAnsi="Verdana"/>
          <w:sz w:val="20"/>
          <w:szCs w:val="20"/>
        </w:rPr>
        <w:t>5.30. Para realização do leilão, o leiloeiro poderá, exclusivamente a seu critério, utilizar o Pátio de Artefatos (Garagem da prefeitura) ou auditórios indicados pela SEMAD/PMSGP, sem ônus, se houver disponibilidade do local e sem gerar direito subjetivo ao CONTRATADO.</w:t>
      </w:r>
    </w:p>
    <w:p>
      <w:pPr>
        <w:pStyle w:val="Textoprformatado"/>
        <w:spacing w:lineRule="auto" w:line="240"/>
        <w:jc w:val="both"/>
        <w:rPr/>
      </w:pPr>
      <w:r>
        <w:rPr>
          <w:rStyle w:val="Cdigo-fonte"/>
          <w:rFonts w:cs="Arial" w:ascii="Verdana" w:hAnsi="Verdana"/>
          <w:sz w:val="20"/>
          <w:szCs w:val="20"/>
        </w:rPr>
        <w:t>5.31. Havendo opção pela utilização do local citado no item anterior, o uso do local ocorrerá sem transferência de nenhuma responsabilidade ao CONTRATANTE, como, limpeza, segurança, alimentação ou de qualquer outra natureza.</w:t>
      </w:r>
    </w:p>
    <w:p>
      <w:pPr>
        <w:pStyle w:val="Textoprformatado"/>
        <w:spacing w:lineRule="auto" w:line="240"/>
        <w:jc w:val="both"/>
        <w:rPr/>
      </w:pPr>
      <w:r>
        <w:rPr>
          <w:rStyle w:val="Cdigo-fonte"/>
          <w:rFonts w:cs="Arial" w:ascii="Verdana" w:hAnsi="Verdana"/>
          <w:sz w:val="20"/>
          <w:szCs w:val="20"/>
        </w:rPr>
        <w:t>5.32. Caso opte por utilizar o auditório indicado pela SEMAD/PMSGP, nos leilões constituídos por mais de 100 (cem) lotes, o leiloeiro deverá fornecer coffee break, composto de, no mínimo: café, água, copos descartáveis, pães com recheio, frutas, tais como: banana, maçã, laranja, refrigerantes, sucos, leites, achocolatados e afins.</w:t>
      </w:r>
    </w:p>
    <w:p>
      <w:pPr>
        <w:pStyle w:val="Textoprformatado"/>
        <w:spacing w:lineRule="auto" w:line="240"/>
        <w:jc w:val="both"/>
        <w:rPr/>
      </w:pPr>
      <w:r>
        <w:rPr>
          <w:rStyle w:val="Cdigo-fonte"/>
          <w:rFonts w:cs="Arial" w:ascii="Verdana" w:hAnsi="Verdana"/>
          <w:sz w:val="20"/>
          <w:szCs w:val="20"/>
        </w:rPr>
        <w:t>5.33. Os itens de coffee break não consumidos pertencem ao leiloeiro, que deverá promover a sua retirada e destinação.</w:t>
      </w:r>
    </w:p>
    <w:p>
      <w:pPr>
        <w:pStyle w:val="Textoprformatado"/>
        <w:spacing w:lineRule="auto" w:line="240"/>
        <w:jc w:val="both"/>
        <w:rPr/>
      </w:pPr>
      <w:r>
        <w:rPr>
          <w:rStyle w:val="Cdigo-fonte"/>
          <w:rFonts w:cs="Arial" w:ascii="Verdana" w:hAnsi="Verdana"/>
          <w:sz w:val="20"/>
          <w:szCs w:val="20"/>
        </w:rPr>
        <w:t>5.34. Poderão ser fornecidos outros itens ou quantidades superiores às acima indicadas, em caráter complementar ao mínimo estipulado, a critério do leiloeiro. 5.35. Emitir a documentação exigível decorrente da arrematação, tais como:</w:t>
      </w:r>
    </w:p>
    <w:p>
      <w:pPr>
        <w:pStyle w:val="Textoprformatado"/>
        <w:spacing w:lineRule="auto" w:line="240"/>
        <w:jc w:val="both"/>
        <w:rPr/>
      </w:pPr>
      <w:r>
        <w:rPr>
          <w:rStyle w:val="Cdigo-fonte"/>
          <w:rFonts w:cs="Arial" w:ascii="Verdana" w:hAnsi="Verdana"/>
          <w:sz w:val="20"/>
          <w:szCs w:val="20"/>
        </w:rPr>
        <w:t xml:space="preserve">a) Nota de arrematação do bem arrematado, em nome do titular do lance vencedor; </w:t>
      </w:r>
    </w:p>
    <w:p>
      <w:pPr>
        <w:pStyle w:val="Textoprformatado"/>
        <w:spacing w:lineRule="auto" w:line="240"/>
        <w:jc w:val="both"/>
        <w:rPr/>
      </w:pPr>
      <w:r>
        <w:rPr>
          <w:rStyle w:val="Cdigo-fonte"/>
          <w:rFonts w:cs="Arial" w:ascii="Verdana" w:hAnsi="Verdana"/>
          <w:sz w:val="20"/>
          <w:szCs w:val="20"/>
        </w:rPr>
        <w:t xml:space="preserve">b) Nota fiscal do bem vendido para outro Estado da Federação; </w:t>
      </w:r>
    </w:p>
    <w:p>
      <w:pPr>
        <w:pStyle w:val="Textoprformatado"/>
        <w:spacing w:lineRule="auto" w:line="240"/>
        <w:jc w:val="both"/>
        <w:rPr/>
      </w:pPr>
      <w:r>
        <w:rPr>
          <w:rStyle w:val="Cdigo-fonte"/>
          <w:rFonts w:cs="Arial" w:ascii="Verdana" w:hAnsi="Verdana"/>
          <w:sz w:val="20"/>
          <w:szCs w:val="20"/>
        </w:rPr>
        <w:t>c) Carta de arrematação específica de veículo, por inexistência de CRV;</w:t>
      </w:r>
    </w:p>
    <w:p>
      <w:pPr>
        <w:pStyle w:val="Textoprformatado"/>
        <w:spacing w:lineRule="auto" w:line="240"/>
        <w:jc w:val="both"/>
        <w:rPr/>
      </w:pPr>
      <w:r>
        <w:rPr>
          <w:rStyle w:val="Cdigo-fonte"/>
          <w:rFonts w:cs="Arial" w:ascii="Verdana" w:hAnsi="Verdana"/>
          <w:sz w:val="20"/>
          <w:szCs w:val="20"/>
        </w:rPr>
        <w:t>d) Documento Único de Arrecadação – DUA, para o pagamento da arrematação;</w:t>
      </w:r>
    </w:p>
    <w:p>
      <w:pPr>
        <w:pStyle w:val="Textoprformatado"/>
        <w:spacing w:lineRule="auto" w:line="240"/>
        <w:jc w:val="both"/>
        <w:rPr/>
      </w:pPr>
      <w:r>
        <w:rPr>
          <w:rStyle w:val="Cdigo-fonte"/>
          <w:rFonts w:cs="Arial" w:ascii="Verdana" w:hAnsi="Verdana"/>
          <w:sz w:val="20"/>
          <w:szCs w:val="20"/>
        </w:rPr>
        <w:t xml:space="preserve">e) Documento Único de Arrecadação – DUA, para recolhimento de ICMS, quando devido; </w:t>
      </w:r>
    </w:p>
    <w:p>
      <w:pPr>
        <w:pStyle w:val="Textoprformatado"/>
        <w:spacing w:lineRule="auto" w:line="240"/>
        <w:jc w:val="both"/>
        <w:rPr/>
      </w:pPr>
      <w:r>
        <w:rPr>
          <w:rStyle w:val="Cdigo-fonte"/>
          <w:rFonts w:cs="Arial" w:ascii="Verdana" w:hAnsi="Verdana"/>
          <w:sz w:val="20"/>
          <w:szCs w:val="20"/>
        </w:rPr>
        <w:t xml:space="preserve">f) Espelho de transferência do veículo em nome do arrematante, para veículo vendido para dentro do ES, a ser emitido por meio do site do DETRAN/ES; </w:t>
      </w:r>
    </w:p>
    <w:p>
      <w:pPr>
        <w:pStyle w:val="Textoprformatado"/>
        <w:spacing w:lineRule="auto" w:line="240"/>
        <w:jc w:val="both"/>
        <w:rPr/>
      </w:pPr>
      <w:r>
        <w:rPr>
          <w:rStyle w:val="Cdigo-fonte"/>
          <w:rFonts w:cs="Arial" w:ascii="Verdana" w:hAnsi="Verdana"/>
          <w:sz w:val="20"/>
          <w:szCs w:val="20"/>
        </w:rPr>
        <w:t xml:space="preserve">g) Espelho de comprovação da comunicação de venda, para veículo vendido para outro Estado da Federação, a ser emitido por meio do site do DETRAN/ES; </w:t>
      </w:r>
    </w:p>
    <w:p>
      <w:pPr>
        <w:pStyle w:val="Textoprformatado"/>
        <w:spacing w:lineRule="auto" w:line="240"/>
        <w:jc w:val="both"/>
        <w:rPr/>
      </w:pPr>
      <w:r>
        <w:rPr>
          <w:rStyle w:val="Cdigo-fonte"/>
          <w:rFonts w:cs="Arial" w:ascii="Verdana" w:hAnsi="Verdana"/>
          <w:sz w:val="20"/>
          <w:szCs w:val="20"/>
        </w:rPr>
        <w:t xml:space="preserve">h) Declaração do Leiloeiro de que o arrematante cumpriu todas as condições e etapas necessárias à conclusão da arrematação, estando apto a retirar o bem arrematado no pátio/imóvel do Órgão detentor, respectiva a cada lote; </w:t>
      </w:r>
    </w:p>
    <w:p>
      <w:pPr>
        <w:pStyle w:val="Textoprformatado"/>
        <w:spacing w:lineRule="auto" w:line="240"/>
        <w:jc w:val="both"/>
        <w:rPr/>
      </w:pPr>
      <w:r>
        <w:rPr>
          <w:rStyle w:val="Cdigo-fonte"/>
          <w:rFonts w:cs="Arial" w:ascii="Verdana" w:hAnsi="Verdana"/>
          <w:sz w:val="20"/>
          <w:szCs w:val="20"/>
        </w:rPr>
        <w:t>i) Autorização de retirada do bem, a ser assinada por servidor da comissão especial de credenciamento e leilão da contratante, para autorizar a retirada do bem pelo arrematante, com fundamento na declaração supracitada;</w:t>
      </w:r>
    </w:p>
    <w:p>
      <w:pPr>
        <w:pStyle w:val="Textoprformatado"/>
        <w:spacing w:lineRule="auto" w:line="240"/>
        <w:jc w:val="both"/>
        <w:rPr/>
      </w:pPr>
      <w:r>
        <w:rPr>
          <w:rStyle w:val="Cdigo-fonte"/>
          <w:rFonts w:cs="Arial" w:ascii="Verdana" w:hAnsi="Verdana"/>
          <w:sz w:val="20"/>
          <w:szCs w:val="20"/>
        </w:rPr>
        <w:t xml:space="preserve">j) Termo de Recebimento do bem, que deverá ser assinado pelo arrematante no ato da retirada do bem; </w:t>
      </w:r>
    </w:p>
    <w:p>
      <w:pPr>
        <w:pStyle w:val="Textoprformatado"/>
        <w:spacing w:lineRule="auto" w:line="240"/>
        <w:jc w:val="both"/>
        <w:rPr/>
      </w:pPr>
      <w:r>
        <w:rPr>
          <w:rStyle w:val="Cdigo-fonte"/>
          <w:rFonts w:cs="Arial" w:ascii="Verdana" w:hAnsi="Verdana"/>
          <w:sz w:val="20"/>
          <w:szCs w:val="20"/>
        </w:rPr>
        <w:t xml:space="preserve">k) Outros documentos porventura exigidos pelo CONTRATANTE. </w:t>
      </w:r>
    </w:p>
    <w:p>
      <w:pPr>
        <w:pStyle w:val="Textoprformatado"/>
        <w:spacing w:lineRule="auto" w:line="240"/>
        <w:jc w:val="both"/>
        <w:rPr/>
      </w:pPr>
      <w:r>
        <w:rPr>
          <w:rStyle w:val="Cdigo-fonte"/>
          <w:rFonts w:cs="Arial" w:ascii="Verdana" w:hAnsi="Verdana"/>
          <w:sz w:val="20"/>
          <w:szCs w:val="20"/>
        </w:rPr>
        <w:t>5.36. Disponibilizar pessoal, por no mínimo 30 (trinta) dias úteis após o Leilão, para atender os arrematantes quanto ao cumprimento das exigências do leilão, possibilitando a retirada do lote arrematado.</w:t>
      </w:r>
    </w:p>
    <w:p>
      <w:pPr>
        <w:pStyle w:val="Textoprformatado"/>
        <w:spacing w:lineRule="auto" w:line="240"/>
        <w:jc w:val="both"/>
        <w:rPr/>
      </w:pPr>
      <w:r>
        <w:rPr>
          <w:rStyle w:val="Cdigo-fonte"/>
          <w:rFonts w:cs="Arial" w:ascii="Verdana" w:hAnsi="Verdana"/>
          <w:sz w:val="20"/>
          <w:szCs w:val="20"/>
        </w:rPr>
        <w:t>5.37. Exigências relacionadas ao Leilão, possibilitando a retirada do lote arrematado.</w:t>
      </w:r>
    </w:p>
    <w:p>
      <w:pPr>
        <w:pStyle w:val="Textoprformatado"/>
        <w:spacing w:lineRule="auto" w:line="240"/>
        <w:jc w:val="both"/>
        <w:rPr/>
      </w:pPr>
      <w:r>
        <w:rPr>
          <w:rStyle w:val="Cdigo-fonte"/>
          <w:rFonts w:cs="Arial" w:ascii="Verdana" w:hAnsi="Verdana"/>
          <w:sz w:val="20"/>
          <w:szCs w:val="20"/>
        </w:rPr>
        <w:t>5.38. Possuir modelo de carta de arrematação em Leilão válida para transferência por inexistência de CRV, aprovado pelo DETRAN.</w:t>
      </w:r>
    </w:p>
    <w:p>
      <w:pPr>
        <w:pStyle w:val="Textoprformatado"/>
        <w:spacing w:lineRule="auto" w:line="240"/>
        <w:jc w:val="both"/>
        <w:rPr/>
      </w:pPr>
      <w:r>
        <w:rPr>
          <w:rStyle w:val="Cdigo-fonte"/>
          <w:rFonts w:cs="Arial" w:ascii="Verdana" w:hAnsi="Verdana"/>
          <w:sz w:val="20"/>
          <w:szCs w:val="20"/>
        </w:rPr>
        <w:t>5.39. Providenciar, junto ao DETRAN, o registro dos comunicados de venda de veículos com impedimentos para transferência imediata e para os arrematantes de fora do Estado do ES.</w:t>
      </w:r>
    </w:p>
    <w:p>
      <w:pPr>
        <w:pStyle w:val="Textoprformatado"/>
        <w:spacing w:lineRule="auto" w:line="240"/>
        <w:jc w:val="both"/>
        <w:rPr/>
      </w:pPr>
      <w:r>
        <w:rPr>
          <w:rStyle w:val="Cdigo-fonte"/>
          <w:rFonts w:cs="Arial" w:ascii="Verdana" w:hAnsi="Verdana"/>
          <w:sz w:val="20"/>
          <w:szCs w:val="20"/>
        </w:rPr>
        <w:t>4.40. Prestar as informações solicitadas pela comissão especial de credenciamento e leilão da contratante, antes, durante ou depois do Leilão.</w:t>
      </w:r>
    </w:p>
    <w:p>
      <w:pPr>
        <w:pStyle w:val="Textoprformatado"/>
        <w:spacing w:lineRule="auto" w:line="240"/>
        <w:jc w:val="both"/>
        <w:rPr/>
      </w:pPr>
      <w:r>
        <w:rPr>
          <w:rStyle w:val="Cdigo-fonte"/>
          <w:rFonts w:cs="Arial" w:ascii="Verdana" w:hAnsi="Verdana"/>
          <w:sz w:val="20"/>
          <w:szCs w:val="20"/>
        </w:rPr>
        <w:t>5.41. Elaborar laudo de avaliação para os bens móveis, com registro fotográfico para cada lote, contendo proposta de valor de lance inicial para a venda.</w:t>
      </w:r>
    </w:p>
    <w:p>
      <w:pPr>
        <w:pStyle w:val="Textoprformatado"/>
        <w:spacing w:lineRule="auto" w:line="240"/>
        <w:jc w:val="both"/>
        <w:rPr/>
      </w:pPr>
      <w:r>
        <w:rPr>
          <w:rStyle w:val="Cdigo-fonte"/>
          <w:rFonts w:cs="Arial" w:ascii="Verdana" w:hAnsi="Verdana"/>
          <w:sz w:val="20"/>
          <w:szCs w:val="20"/>
        </w:rPr>
        <w:t>5.42. Entregar a prestação de contas do Leilão, devendo ser protocolada no Protocolo Geral do Prefeitura, conforme definido no contrato, contendo no mínimo, os seguintes documentos:</w:t>
      </w:r>
    </w:p>
    <w:p>
      <w:pPr>
        <w:pStyle w:val="Textoprformatado"/>
        <w:spacing w:lineRule="auto" w:line="240"/>
        <w:jc w:val="both"/>
        <w:rPr/>
      </w:pPr>
      <w:r>
        <w:rPr>
          <w:rStyle w:val="Cdigo-fonte"/>
          <w:rFonts w:cs="Arial" w:ascii="Verdana" w:hAnsi="Verdana"/>
          <w:sz w:val="20"/>
          <w:szCs w:val="20"/>
        </w:rPr>
        <w:t xml:space="preserve">a) Ata do Leilão; </w:t>
      </w:r>
    </w:p>
    <w:p>
      <w:pPr>
        <w:pStyle w:val="Textoprformatado"/>
        <w:spacing w:lineRule="auto" w:line="240"/>
        <w:jc w:val="both"/>
        <w:rPr/>
      </w:pPr>
      <w:r>
        <w:rPr>
          <w:rStyle w:val="Cdigo-fonte"/>
          <w:rFonts w:cs="Arial" w:ascii="Verdana" w:hAnsi="Verdana"/>
          <w:sz w:val="20"/>
          <w:szCs w:val="20"/>
        </w:rPr>
        <w:t xml:space="preserve">b) Edital do Leilão, assinado pelo leiloeiro; </w:t>
      </w:r>
    </w:p>
    <w:p>
      <w:pPr>
        <w:pStyle w:val="Textoprformatado"/>
        <w:spacing w:lineRule="auto" w:line="240"/>
        <w:jc w:val="both"/>
        <w:rPr/>
      </w:pPr>
      <w:r>
        <w:rPr>
          <w:rStyle w:val="Cdigo-fonte"/>
          <w:rFonts w:cs="Arial" w:ascii="Verdana" w:hAnsi="Verdana"/>
          <w:sz w:val="20"/>
          <w:szCs w:val="20"/>
        </w:rPr>
        <w:t>c) Resumo do Edital de Leilão, publicado no DOE/ES e DOM/ES;</w:t>
      </w:r>
    </w:p>
    <w:p>
      <w:pPr>
        <w:pStyle w:val="Textoprformatado"/>
        <w:spacing w:lineRule="auto" w:line="240"/>
        <w:jc w:val="both"/>
        <w:rPr/>
      </w:pPr>
      <w:r>
        <w:rPr>
          <w:rStyle w:val="Cdigo-fonte"/>
          <w:rFonts w:cs="Arial" w:ascii="Verdana" w:hAnsi="Verdana"/>
          <w:sz w:val="20"/>
          <w:szCs w:val="20"/>
        </w:rPr>
        <w:t>5.43. Publicação da divulgação do Leilão, em jornal de grande circulação e em redes sociais;</w:t>
      </w:r>
    </w:p>
    <w:p>
      <w:pPr>
        <w:pStyle w:val="Textoprformatado"/>
        <w:spacing w:lineRule="auto" w:line="240"/>
        <w:jc w:val="both"/>
        <w:rPr/>
      </w:pPr>
      <w:r>
        <w:rPr>
          <w:rStyle w:val="Cdigo-fonte"/>
          <w:rFonts w:cs="Arial" w:ascii="Verdana" w:hAnsi="Verdana"/>
          <w:sz w:val="20"/>
          <w:szCs w:val="20"/>
        </w:rPr>
        <w:t xml:space="preserve">a) Publicação, no DOE/ES e DOM/ES, do resultado do Leilão; </w:t>
      </w:r>
    </w:p>
    <w:p>
      <w:pPr>
        <w:pStyle w:val="Textoprformatado"/>
        <w:spacing w:lineRule="auto" w:line="240"/>
        <w:jc w:val="both"/>
        <w:rPr/>
      </w:pPr>
      <w:r>
        <w:rPr>
          <w:rStyle w:val="Cdigo-fonte"/>
          <w:rFonts w:cs="Arial" w:ascii="Verdana" w:hAnsi="Verdana"/>
          <w:sz w:val="20"/>
          <w:szCs w:val="20"/>
        </w:rPr>
        <w:t xml:space="preserve">b) Cópia das notas de arrematação dos bens arrematados; </w:t>
      </w:r>
    </w:p>
    <w:p>
      <w:pPr>
        <w:pStyle w:val="Textoprformatado"/>
        <w:spacing w:lineRule="auto" w:line="240"/>
        <w:jc w:val="both"/>
        <w:rPr/>
      </w:pPr>
      <w:r>
        <w:rPr>
          <w:rStyle w:val="Cdigo-fonte"/>
          <w:rFonts w:cs="Arial" w:ascii="Verdana" w:hAnsi="Verdana"/>
          <w:sz w:val="20"/>
          <w:szCs w:val="20"/>
        </w:rPr>
        <w:t>c) Cópia dos comprovantes de quitação do DUA da arrematação;</w:t>
      </w:r>
    </w:p>
    <w:p>
      <w:pPr>
        <w:pStyle w:val="Textoprformatado"/>
        <w:spacing w:lineRule="auto" w:line="240"/>
        <w:jc w:val="both"/>
        <w:rPr/>
      </w:pPr>
      <w:r>
        <w:rPr>
          <w:rStyle w:val="Cdigo-fonte"/>
          <w:rFonts w:cs="Arial" w:ascii="Verdana" w:hAnsi="Verdana"/>
          <w:sz w:val="20"/>
          <w:szCs w:val="20"/>
        </w:rPr>
        <w:t>5.44. Cópia dos comprovantes de quitação do DUA, para recolhimento de ICMS, quando devido;</w:t>
      </w:r>
    </w:p>
    <w:p>
      <w:pPr>
        <w:pStyle w:val="Textoprformatado"/>
        <w:spacing w:lineRule="auto" w:line="240"/>
        <w:jc w:val="both"/>
        <w:rPr/>
      </w:pPr>
      <w:r>
        <w:rPr>
          <w:rStyle w:val="Cdigo-fonte"/>
          <w:rFonts w:cs="Arial" w:ascii="Verdana" w:hAnsi="Verdana"/>
          <w:sz w:val="20"/>
          <w:szCs w:val="20"/>
        </w:rPr>
        <w:t>5.45. Cópia das notas fiscais avulsas dos bens, emitidas aos arrematantes de fora do Estado do Espírito Santo;</w:t>
      </w:r>
    </w:p>
    <w:p>
      <w:pPr>
        <w:pStyle w:val="Textoprformatado"/>
        <w:spacing w:lineRule="auto" w:line="240"/>
        <w:jc w:val="both"/>
        <w:rPr/>
      </w:pPr>
      <w:r>
        <w:rPr>
          <w:rStyle w:val="Cdigo-fonte"/>
          <w:rFonts w:cs="Arial" w:ascii="Verdana" w:hAnsi="Verdana"/>
          <w:sz w:val="20"/>
          <w:szCs w:val="20"/>
        </w:rPr>
        <w:t>5.46. Declaração do Leiloeiro, por lote, de que o arrematante cumpriu todas as condições e etapas necessárias à conclusão da arrematação, estando apto a retirar o bem arrematado no pátio do Órgão detentor;</w:t>
      </w:r>
    </w:p>
    <w:p>
      <w:pPr>
        <w:pStyle w:val="Textoprformatado"/>
        <w:spacing w:lineRule="auto" w:line="240"/>
        <w:jc w:val="both"/>
        <w:rPr/>
      </w:pPr>
      <w:r>
        <w:rPr>
          <w:rStyle w:val="Cdigo-fonte"/>
          <w:rFonts w:cs="Arial" w:ascii="Verdana" w:hAnsi="Verdana"/>
          <w:sz w:val="20"/>
          <w:szCs w:val="20"/>
        </w:rPr>
        <w:t>5.47. Autorização de retirada de bens assinada por membro da comissão especial de credenciamento e leilão da contratante.</w:t>
      </w:r>
    </w:p>
    <w:p>
      <w:pPr>
        <w:pStyle w:val="Textoprformatado"/>
        <w:spacing w:lineRule="auto" w:line="240"/>
        <w:jc w:val="both"/>
        <w:rPr/>
      </w:pPr>
      <w:r>
        <w:rPr>
          <w:rStyle w:val="Cdigo-fonte"/>
          <w:rFonts w:cs="Arial" w:ascii="Verdana" w:hAnsi="Verdana"/>
          <w:sz w:val="20"/>
          <w:szCs w:val="20"/>
        </w:rPr>
        <w:t>5.48. Termo de Recebimento de bens, assinado pelo arrematante no ato da retirada ou da obtenção da posse do bem;</w:t>
      </w:r>
    </w:p>
    <w:p>
      <w:pPr>
        <w:pStyle w:val="Textoprformatado"/>
        <w:spacing w:lineRule="auto" w:line="240"/>
        <w:jc w:val="both"/>
        <w:rPr/>
      </w:pPr>
      <w:r>
        <w:rPr>
          <w:rStyle w:val="Cdigo-fonte"/>
          <w:rFonts w:cs="Arial" w:ascii="Verdana" w:hAnsi="Verdana"/>
          <w:sz w:val="20"/>
          <w:szCs w:val="20"/>
        </w:rPr>
        <w:t>5.49. Extratos do DETRAN comprovando a transferência dos veículos ou certidão de baixa definitiva;</w:t>
      </w:r>
    </w:p>
    <w:p>
      <w:pPr>
        <w:pStyle w:val="Textoprformatado"/>
        <w:spacing w:lineRule="auto" w:line="240"/>
        <w:jc w:val="both"/>
        <w:rPr/>
      </w:pPr>
      <w:r>
        <w:rPr>
          <w:rStyle w:val="Cdigo-fonte"/>
          <w:rFonts w:cs="Arial" w:ascii="Verdana" w:hAnsi="Verdana"/>
          <w:sz w:val="20"/>
          <w:szCs w:val="20"/>
        </w:rPr>
        <w:t>5.50. Extratos do DETRAN, comprovando o registro do comunicado de venda para veículos com impedimento de transferência imediata e os arrematados por pessoas residentes fora do Estado do ES;</w:t>
      </w:r>
    </w:p>
    <w:p>
      <w:pPr>
        <w:pStyle w:val="Textoprformatado"/>
        <w:spacing w:lineRule="auto" w:line="240"/>
        <w:jc w:val="both"/>
        <w:rPr/>
      </w:pPr>
      <w:r>
        <w:rPr>
          <w:rStyle w:val="Cdigo-fonte"/>
          <w:rFonts w:cs="Arial" w:ascii="Verdana" w:hAnsi="Verdana"/>
          <w:sz w:val="20"/>
          <w:szCs w:val="20"/>
        </w:rPr>
        <w:t>5.51. Notificações necessárias expedidas;</w:t>
      </w:r>
    </w:p>
    <w:p>
      <w:pPr>
        <w:pStyle w:val="Textoprformatado"/>
        <w:spacing w:lineRule="auto" w:line="240"/>
        <w:jc w:val="both"/>
        <w:rPr/>
      </w:pPr>
      <w:r>
        <w:rPr>
          <w:rStyle w:val="Cdigo-fonte"/>
          <w:rFonts w:cs="Arial" w:ascii="Verdana" w:hAnsi="Verdana"/>
          <w:sz w:val="20"/>
          <w:szCs w:val="20"/>
        </w:rPr>
        <w:t>5.52. Relatório fotográfico dos bens;</w:t>
      </w:r>
    </w:p>
    <w:p>
      <w:pPr>
        <w:pStyle w:val="Textoprformatado"/>
        <w:spacing w:lineRule="auto" w:line="240"/>
        <w:jc w:val="both"/>
        <w:rPr/>
      </w:pPr>
      <w:r>
        <w:rPr>
          <w:rStyle w:val="Cdigo-fonte"/>
          <w:rFonts w:cs="Arial" w:ascii="Verdana" w:hAnsi="Verdana"/>
          <w:sz w:val="20"/>
          <w:szCs w:val="20"/>
        </w:rPr>
        <w:t>5.53. Relatório do dia do Leilão, contendo no mínimo os seguintes itens: nº do lote, status (vendido ou não vendido), tipo da venda (presencial ou on-line), descrição do bem, placa, valor da avaliação inicial, valor da arrematação, CPF/CNPJ do arrematante, UF do arrematante, e demais informações que se fizerem necessárias;</w:t>
      </w:r>
    </w:p>
    <w:p>
      <w:pPr>
        <w:pStyle w:val="Textoprformatado"/>
        <w:spacing w:lineRule="auto" w:line="240"/>
        <w:jc w:val="both"/>
        <w:rPr/>
      </w:pPr>
      <w:r>
        <w:rPr>
          <w:rStyle w:val="Cdigo-fonte"/>
          <w:rFonts w:cs="Arial" w:ascii="Verdana" w:hAnsi="Verdana"/>
          <w:sz w:val="20"/>
          <w:szCs w:val="20"/>
        </w:rPr>
        <w:t>5.54. Relatório sintético do Leilão contendo, no mínimo: total da avaliação inicial, total do valor arrematado, porcentagem da arrematação em relação à avaliação inicial, quantidade de lotes leiloados, quantidade de lotes arrematados presencial e eletronicamente, quantidade de lotes não pagos, quantidade de lances totais, quantidade de lances presenciais e eletrônicos;</w:t>
      </w:r>
    </w:p>
    <w:p>
      <w:pPr>
        <w:pStyle w:val="Textoprformatado"/>
        <w:spacing w:lineRule="auto" w:line="240"/>
        <w:jc w:val="both"/>
        <w:rPr/>
      </w:pPr>
      <w:r>
        <w:rPr>
          <w:rStyle w:val="Cdigo-fonte"/>
          <w:rFonts w:cs="Arial" w:ascii="Verdana" w:hAnsi="Verdana"/>
          <w:sz w:val="20"/>
          <w:szCs w:val="20"/>
        </w:rPr>
        <w:t>5.55. Relatório analítico do Leilão, contendo no mínimo os seguintes itens: lote, descrição, placa, valor da avaliação inicial, valor da arrematação, CPF/CNPJ do arrematante, UF do arrematante, detalhamento de lances por lote;</w:t>
      </w:r>
    </w:p>
    <w:p>
      <w:pPr>
        <w:pStyle w:val="Textoprformatado"/>
        <w:spacing w:lineRule="auto" w:line="240"/>
        <w:jc w:val="both"/>
        <w:rPr/>
      </w:pPr>
      <w:r>
        <w:rPr>
          <w:rStyle w:val="Cdigo-fonte"/>
          <w:rFonts w:cs="Arial" w:ascii="Verdana" w:hAnsi="Verdana"/>
          <w:sz w:val="20"/>
          <w:szCs w:val="20"/>
        </w:rPr>
        <w:t>5.56. Relatório de detalhamento dos bens sobre os quais constem pendências administrativas que impossibilitem a retirada ou obtenção da sua posse dos bens;</w:t>
      </w:r>
    </w:p>
    <w:p>
      <w:pPr>
        <w:pStyle w:val="Textoprformatado"/>
        <w:spacing w:lineRule="auto" w:line="240"/>
        <w:jc w:val="both"/>
        <w:rPr/>
      </w:pPr>
      <w:r>
        <w:rPr>
          <w:rStyle w:val="Cdigo-fonte"/>
          <w:rFonts w:cs="Arial" w:ascii="Verdana" w:hAnsi="Verdana"/>
          <w:sz w:val="20"/>
          <w:szCs w:val="20"/>
        </w:rPr>
        <w:t>5.57. Relatório de Dados do Leilão, em modelo a ser fornecido pela comissão especial de credenciamento e leilão da contratante, em planilha de Excel, previamente ao termo inicial do prazo da prestação de contas do leiloeiro.</w:t>
      </w:r>
    </w:p>
    <w:p>
      <w:pPr>
        <w:pStyle w:val="Textoprformatado"/>
        <w:spacing w:lineRule="auto" w:line="240"/>
        <w:jc w:val="both"/>
        <w:rPr/>
      </w:pPr>
      <w:r>
        <w:rPr>
          <w:rStyle w:val="Cdigo-fonte"/>
          <w:rFonts w:cs="Arial" w:ascii="Verdana" w:hAnsi="Verdana"/>
          <w:sz w:val="20"/>
          <w:szCs w:val="20"/>
        </w:rPr>
        <w:t>5.58. A prestação de contas deverá ser apresentada com toda a documentação encadernada ou em pastas A-Z, com sumário contendo indicação de paginação correspondente.</w:t>
      </w:r>
    </w:p>
    <w:p>
      <w:pPr>
        <w:pStyle w:val="Textoprformatado"/>
        <w:spacing w:lineRule="auto" w:line="240"/>
        <w:jc w:val="both"/>
        <w:rPr/>
      </w:pPr>
      <w:r>
        <w:rPr>
          <w:rStyle w:val="Cdigo-fonte"/>
          <w:rFonts w:cs="Arial" w:ascii="Verdana" w:hAnsi="Verdana"/>
          <w:sz w:val="20"/>
          <w:szCs w:val="20"/>
        </w:rPr>
        <w:t>5.59. A prestação de contas deverá ser entregue em até 90 (noventa) dias corridos após a realização do leilão, informando à SEMAD/PMSGP sobre eventuais pendências que impossibilitaram a entrega total da prestação de contas, sem prejuízo da responsabilidade pela resolução de pendências porventura identificadas.</w:t>
      </w:r>
    </w:p>
    <w:p>
      <w:pPr>
        <w:pStyle w:val="Textoprformatado"/>
        <w:spacing w:lineRule="auto" w:line="240"/>
        <w:jc w:val="both"/>
        <w:rPr/>
      </w:pPr>
      <w:r>
        <w:rPr>
          <w:rStyle w:val="Cdigo-fonte"/>
          <w:rFonts w:cs="Arial" w:ascii="Verdana" w:hAnsi="Verdana"/>
          <w:sz w:val="20"/>
          <w:szCs w:val="20"/>
        </w:rPr>
        <w:t>5.60. Responsabilizar-se por todo e qualquer dano que causar à Administração ou a terceiros, ainda que de forma culposa, comissiva ou omissiva, decorrente de sua atividade, devendo adotar as providências saneadoras de forma imediata, sem prejuízo de demais sanções e/ou penalidades aplicáveis;</w:t>
      </w:r>
    </w:p>
    <w:p>
      <w:pPr>
        <w:pStyle w:val="Textoprformatado"/>
        <w:spacing w:lineRule="auto" w:line="240"/>
        <w:jc w:val="both"/>
        <w:rPr/>
      </w:pPr>
      <w:r>
        <w:rPr>
          <w:rStyle w:val="Cdigo-fonte"/>
          <w:rFonts w:cs="Arial" w:ascii="Verdana" w:hAnsi="Verdana"/>
          <w:sz w:val="20"/>
          <w:szCs w:val="20"/>
        </w:rPr>
        <w:t>5.61. Cumprir a legislação aplicável à execução do Leilão e às atividades previstas no contrato firmado;</w:t>
      </w:r>
    </w:p>
    <w:p>
      <w:pPr>
        <w:pStyle w:val="Textoprformatado"/>
        <w:spacing w:lineRule="auto" w:line="240"/>
        <w:jc w:val="both"/>
        <w:rPr/>
      </w:pPr>
      <w:r>
        <w:rPr>
          <w:rStyle w:val="Cdigo-fonte"/>
          <w:rFonts w:cs="Arial" w:ascii="Verdana" w:hAnsi="Verdana"/>
          <w:sz w:val="20"/>
          <w:szCs w:val="20"/>
        </w:rPr>
        <w:t>5.62. Manter as condições de habilitação e qualificação exigidas quando do credenciamento, durante toda a execução do contrato;</w:t>
      </w:r>
    </w:p>
    <w:p>
      <w:pPr>
        <w:pStyle w:val="Textoprformatado"/>
        <w:spacing w:lineRule="auto" w:line="240"/>
        <w:jc w:val="both"/>
        <w:rPr/>
      </w:pPr>
      <w:r>
        <w:rPr>
          <w:rStyle w:val="Cdigo-fonte"/>
          <w:rFonts w:cs="Arial" w:ascii="Verdana" w:hAnsi="Verdana"/>
          <w:sz w:val="20"/>
          <w:szCs w:val="20"/>
        </w:rPr>
        <w:t>5.63. Receber, diretamente do arrematante, a comissão devida pela arrematação do bem no Leilão, na proporção de 5% (cinco por cento) do lance vencedor, conforme parágrafo único do art. 24 do Decreto nº 21.981, de 19/10/32;</w:t>
      </w:r>
    </w:p>
    <w:p>
      <w:pPr>
        <w:pStyle w:val="Textoprformatado"/>
        <w:spacing w:lineRule="auto" w:line="240"/>
        <w:jc w:val="both"/>
        <w:rPr/>
      </w:pPr>
      <w:r>
        <w:rPr>
          <w:rStyle w:val="Cdigo-fonte"/>
          <w:rFonts w:cs="Arial" w:ascii="Verdana" w:hAnsi="Verdana"/>
          <w:sz w:val="20"/>
          <w:szCs w:val="20"/>
        </w:rPr>
        <w:t>5.64. O CONTRATADO obriga-se a restituir ao arrematante o valor pago a título de comissão, sem direito a reembolso pelo CONTRATANTE, nos casos em que a venda não for concretizada por ato de responsabilidade do CONTRATADO ou por fato superveniente.</w:t>
      </w:r>
    </w:p>
    <w:p>
      <w:pPr>
        <w:pStyle w:val="Textoprformatado"/>
        <w:spacing w:lineRule="auto" w:line="240"/>
        <w:jc w:val="both"/>
        <w:rPr/>
      </w:pPr>
      <w:r>
        <w:rPr>
          <w:rStyle w:val="Cdigo-fonte"/>
          <w:rFonts w:cs="Arial" w:ascii="Verdana" w:hAnsi="Verdana"/>
          <w:sz w:val="20"/>
          <w:szCs w:val="20"/>
        </w:rPr>
        <w:t>5.65. Prestar quaisquer informações, quando solicitadas pelo CONTRATANTE;</w:t>
      </w:r>
    </w:p>
    <w:p>
      <w:pPr>
        <w:pStyle w:val="Textoprformatado"/>
        <w:spacing w:lineRule="auto" w:line="240"/>
        <w:jc w:val="both"/>
        <w:rPr/>
      </w:pPr>
      <w:r>
        <w:rPr>
          <w:rStyle w:val="Cdigo-fonte"/>
          <w:rFonts w:cs="Arial" w:ascii="Verdana" w:hAnsi="Verdana"/>
          <w:sz w:val="20"/>
          <w:szCs w:val="20"/>
        </w:rPr>
        <w:t>5.66. Prestar os serviços sem quaisquer ônus adicionais para a CONTRATANTE.</w:t>
      </w:r>
    </w:p>
    <w:p>
      <w:pPr>
        <w:pStyle w:val="Textoprformatado"/>
        <w:spacing w:lineRule="auto" w:line="240"/>
        <w:jc w:val="both"/>
        <w:rPr/>
      </w:pPr>
      <w:r>
        <w:rPr>
          <w:rStyle w:val="Cdigo-fonte"/>
          <w:rFonts w:cs="Arial" w:ascii="Verdana" w:hAnsi="Verdana"/>
          <w:sz w:val="20"/>
          <w:szCs w:val="20"/>
        </w:rPr>
        <w:t>5.67. Atender a todas as exigências contidas no Edital de Credenciamento nº 001/2021 e em seus anexos.</w:t>
      </w:r>
    </w:p>
    <w:p>
      <w:pPr>
        <w:pStyle w:val="Textoprformatado"/>
        <w:spacing w:lineRule="auto" w:line="240"/>
        <w:jc w:val="both"/>
        <w:rPr/>
      </w:pPr>
      <w:r>
        <w:rPr>
          <w:rStyle w:val="Cdigo-fonte"/>
          <w:rFonts w:cs="Arial" w:ascii="Verdana" w:hAnsi="Verdana"/>
          <w:sz w:val="20"/>
          <w:szCs w:val="20"/>
        </w:rPr>
        <w:t>5.68. Se responsabilizar por qualquer dano a que der causa pessoalmente ou por seus prepostos à Administração ou a terceiros na execução do objeto contratual;</w:t>
      </w:r>
    </w:p>
    <w:p>
      <w:pPr>
        <w:pStyle w:val="Textoprformatado"/>
        <w:spacing w:lineRule="auto" w:line="240"/>
        <w:jc w:val="both"/>
        <w:rPr/>
      </w:pPr>
      <w:r>
        <w:rPr>
          <w:rStyle w:val="Cdigo-fonte"/>
          <w:rFonts w:cs="Arial" w:ascii="Verdana" w:hAnsi="Verdana"/>
          <w:sz w:val="20"/>
          <w:szCs w:val="20"/>
        </w:rPr>
        <w:t>5.69. Prestar contas à Administração do resultado da alienação.</w:t>
      </w:r>
    </w:p>
    <w:p>
      <w:pPr>
        <w:pStyle w:val="Normal"/>
        <w:spacing w:lineRule="auto" w:line="240" w:before="0" w:after="0"/>
        <w:jc w:val="both"/>
        <w:rPr>
          <w:rFonts w:ascii="Verdana" w:hAnsi="Verdana"/>
          <w:sz w:val="20"/>
          <w:szCs w:val="20"/>
        </w:rPr>
      </w:pPr>
      <w:r>
        <w:rPr>
          <w:rFonts w:ascii="Verdana" w:hAnsi="Verdana"/>
          <w:sz w:val="20"/>
          <w:szCs w:val="20"/>
        </w:rPr>
      </w:r>
    </w:p>
    <w:p>
      <w:pPr>
        <w:pStyle w:val="Normal"/>
        <w:spacing w:lineRule="auto" w:line="240" w:before="0" w:after="0"/>
        <w:jc w:val="both"/>
        <w:rPr>
          <w:rFonts w:ascii="Verdana" w:hAnsi="Verdana"/>
          <w:sz w:val="20"/>
          <w:szCs w:val="20"/>
        </w:rPr>
      </w:pPr>
      <w:r>
        <w:rPr>
          <w:rFonts w:ascii="Verdana" w:hAnsi="Verdana"/>
          <w:b/>
          <w:bCs/>
          <w:sz w:val="20"/>
          <w:szCs w:val="20"/>
        </w:rPr>
        <w:t>6. PROCEDIMENTOS DO LEILÃO</w:t>
      </w:r>
    </w:p>
    <w:p>
      <w:pPr>
        <w:pStyle w:val="Corpodotexto"/>
        <w:spacing w:lineRule="auto" w:line="240" w:before="0" w:after="0"/>
        <w:jc w:val="both"/>
        <w:rPr>
          <w:rFonts w:ascii="Verdana" w:hAnsi="Verdana"/>
          <w:sz w:val="20"/>
          <w:szCs w:val="20"/>
        </w:rPr>
      </w:pPr>
      <w:r>
        <w:rPr>
          <w:rFonts w:ascii="Verdana" w:hAnsi="Verdana"/>
          <w:sz w:val="20"/>
          <w:szCs w:val="20"/>
        </w:rPr>
        <w:t>6.1. A organização e a realização dos leilões de bens móveis desafetados, por meio dos leiloeiros públicos oficiais credenciados, seguirão um fluxo de trabalho que visa garantir a eficiência, a transparência e a conformidade com a legislação vigente. Os procedimentos detalhados a seguir descrevem as etapas desde a solicitação do leilão pela Administração Pública até a efetiva entrega dos bens aos arrematantes.</w:t>
      </w:r>
    </w:p>
    <w:p>
      <w:pPr>
        <w:pStyle w:val="Ttulo3"/>
        <w:spacing w:lineRule="auto" w:line="240" w:before="0" w:after="0"/>
        <w:jc w:val="both"/>
        <w:rPr>
          <w:rFonts w:ascii="Verdana" w:hAnsi="Verdana"/>
          <w:b/>
          <w:bCs/>
          <w:i w:val="false"/>
          <w:i w:val="false"/>
          <w:iCs w:val="false"/>
          <w:sz w:val="20"/>
          <w:szCs w:val="20"/>
        </w:rPr>
      </w:pPr>
      <w:r>
        <w:rPr>
          <w:rFonts w:ascii="Verdana" w:hAnsi="Verdana"/>
          <w:b/>
          <w:bCs/>
          <w:i w:val="false"/>
          <w:iCs w:val="false"/>
          <w:sz w:val="20"/>
          <w:szCs w:val="20"/>
        </w:rPr>
      </w:r>
    </w:p>
    <w:p>
      <w:pPr>
        <w:pStyle w:val="Ttulo3"/>
        <w:spacing w:lineRule="auto" w:line="240" w:before="126" w:after="126"/>
        <w:jc w:val="both"/>
        <w:rPr>
          <w:rFonts w:ascii="Verdana" w:hAnsi="Verdana"/>
          <w:sz w:val="20"/>
          <w:szCs w:val="20"/>
        </w:rPr>
      </w:pPr>
      <w:r>
        <w:rPr>
          <w:rFonts w:ascii="Verdana" w:hAnsi="Verdana"/>
          <w:b/>
          <w:bCs/>
          <w:i w:val="false"/>
          <w:iCs w:val="false"/>
          <w:sz w:val="20"/>
          <w:szCs w:val="20"/>
        </w:rPr>
        <w:t>6.1.1. Solicitação e Autorização</w:t>
      </w:r>
    </w:p>
    <w:p>
      <w:pPr>
        <w:pStyle w:val="Corpodotexto"/>
        <w:spacing w:lineRule="auto" w:line="240" w:before="0" w:after="83"/>
        <w:jc w:val="both"/>
        <w:rPr>
          <w:rFonts w:ascii="Verdana" w:hAnsi="Verdana"/>
          <w:sz w:val="20"/>
          <w:szCs w:val="20"/>
        </w:rPr>
      </w:pPr>
      <w:r>
        <w:rPr>
          <w:rFonts w:ascii="Verdana" w:hAnsi="Verdana"/>
          <w:sz w:val="20"/>
          <w:szCs w:val="20"/>
        </w:rPr>
        <w:t>6.1.1.1. O processo de leilão terá início com a formalização da solicitação pela Administração Pública Municipal, por meio do setor responsável pelo patrimônio. Esta solicitação deverá conter:</w:t>
      </w:r>
    </w:p>
    <w:p>
      <w:pPr>
        <w:pStyle w:val="Corpodotexto"/>
        <w:spacing w:lineRule="auto" w:line="240"/>
        <w:jc w:val="both"/>
        <w:rPr>
          <w:rFonts w:ascii="Verdana" w:hAnsi="Verdana"/>
          <w:sz w:val="20"/>
          <w:szCs w:val="20"/>
        </w:rPr>
      </w:pPr>
      <w:r>
        <w:rPr>
          <w:rFonts w:ascii="Verdana" w:hAnsi="Verdana"/>
          <w:sz w:val="20"/>
          <w:szCs w:val="20"/>
        </w:rPr>
        <w:t xml:space="preserve">• </w:t>
      </w:r>
      <w:r>
        <w:rPr>
          <w:rFonts w:ascii="Verdana" w:hAnsi="Verdana"/>
          <w:sz w:val="20"/>
          <w:szCs w:val="20"/>
        </w:rPr>
        <w:t>Listagem dos bens: Relação detalhada dos bens a serem leiloados, incluindo descrição, estado de conservação, número de patrimônio, e qualquer outra informação relevante para a identificação e avaliação dos itens.</w:t>
      </w:r>
    </w:p>
    <w:p>
      <w:pPr>
        <w:pStyle w:val="Corpodotexto"/>
        <w:spacing w:lineRule="auto" w:line="240"/>
        <w:jc w:val="both"/>
        <w:rPr>
          <w:rFonts w:ascii="Verdana" w:hAnsi="Verdana"/>
          <w:sz w:val="20"/>
          <w:szCs w:val="20"/>
        </w:rPr>
      </w:pPr>
      <w:r>
        <w:rPr>
          <w:rFonts w:ascii="Verdana" w:hAnsi="Verdana"/>
          <w:sz w:val="20"/>
          <w:szCs w:val="20"/>
        </w:rPr>
        <w:t xml:space="preserve">• </w:t>
      </w:r>
      <w:r>
        <w:rPr>
          <w:rFonts w:ascii="Verdana" w:hAnsi="Verdana"/>
          <w:sz w:val="20"/>
          <w:szCs w:val="20"/>
        </w:rPr>
        <w:t>Justificativa da alienação: Motivos pelos quais os bens estão sendo desafetados e a necessidade de sua alienação (inservibilidade, obsolescência, antieconomicidade, etc.).</w:t>
      </w:r>
    </w:p>
    <w:p>
      <w:pPr>
        <w:pStyle w:val="Corpodotexto"/>
        <w:spacing w:lineRule="auto" w:line="240"/>
        <w:jc w:val="both"/>
        <w:rPr>
          <w:rFonts w:ascii="Verdana" w:hAnsi="Verdana"/>
          <w:sz w:val="20"/>
          <w:szCs w:val="20"/>
        </w:rPr>
      </w:pPr>
      <w:r>
        <w:rPr>
          <w:rFonts w:ascii="Verdana" w:hAnsi="Verdana"/>
          <w:sz w:val="20"/>
          <w:szCs w:val="20"/>
        </w:rPr>
        <w:t xml:space="preserve">• </w:t>
      </w:r>
      <w:r>
        <w:rPr>
          <w:rFonts w:ascii="Verdana" w:hAnsi="Verdana"/>
          <w:sz w:val="20"/>
          <w:szCs w:val="20"/>
        </w:rPr>
        <w:t>Avaliação prévia: Valor de avaliação dos bens, que servirá como lance mínimo para o leilão. Essa avaliação poderá ser realizada por comissão interna da Administração ou por profissional habilitado, conforme a natureza e o valor dos bens.</w:t>
      </w:r>
    </w:p>
    <w:p>
      <w:pPr>
        <w:pStyle w:val="Corpodotexto"/>
        <w:spacing w:lineRule="auto" w:line="240"/>
        <w:jc w:val="both"/>
        <w:rPr>
          <w:rFonts w:ascii="Verdana" w:hAnsi="Verdana"/>
          <w:sz w:val="20"/>
          <w:szCs w:val="20"/>
        </w:rPr>
      </w:pPr>
      <w:r>
        <w:rPr>
          <w:rFonts w:ascii="Verdana" w:hAnsi="Verdana"/>
          <w:sz w:val="20"/>
          <w:szCs w:val="20"/>
        </w:rPr>
        <w:t xml:space="preserve">• </w:t>
      </w:r>
      <w:r>
        <w:rPr>
          <w:rFonts w:ascii="Verdana" w:hAnsi="Verdana"/>
          <w:sz w:val="20"/>
          <w:szCs w:val="20"/>
        </w:rPr>
        <w:t>Autorização formal: Ato administrativo que autoriza a alienação dos bens por meio de leilão, em conformidade com a legislação municipal e federal.</w:t>
      </w:r>
    </w:p>
    <w:p>
      <w:pPr>
        <w:pStyle w:val="Corpodotexto"/>
        <w:spacing w:lineRule="auto" w:line="240" w:before="230" w:after="283"/>
        <w:jc w:val="both"/>
        <w:rPr>
          <w:rFonts w:ascii="Verdana" w:hAnsi="Verdana"/>
          <w:sz w:val="20"/>
          <w:szCs w:val="20"/>
        </w:rPr>
      </w:pPr>
      <w:r>
        <w:rPr>
          <w:rFonts w:ascii="Verdana" w:hAnsi="Verdana"/>
          <w:sz w:val="20"/>
          <w:szCs w:val="20"/>
        </w:rPr>
        <w:t>6.1.1.2. Após a formalização da solicitação e a obtenção das autorizações necessárias, a Administração Pública convocará um dos leiloeiros credenciados, seguindo os critérios de distribuição de demanda estabelecidos no edital de credenciamento (por exemplo, rodízio, sorteio, ou outro critério objetivo).</w:t>
      </w:r>
    </w:p>
    <w:p>
      <w:pPr>
        <w:pStyle w:val="Ttulo3"/>
        <w:spacing w:lineRule="auto" w:line="240" w:before="12" w:after="12"/>
        <w:jc w:val="both"/>
        <w:rPr>
          <w:rFonts w:ascii="Verdana" w:hAnsi="Verdana"/>
          <w:sz w:val="20"/>
          <w:szCs w:val="20"/>
        </w:rPr>
      </w:pPr>
      <w:r>
        <w:rPr>
          <w:rFonts w:ascii="Verdana" w:hAnsi="Verdana"/>
          <w:b/>
          <w:bCs/>
          <w:i w:val="false"/>
          <w:iCs w:val="false"/>
          <w:sz w:val="20"/>
          <w:szCs w:val="20"/>
        </w:rPr>
        <w:t>6.1.2. Preparação do Leilão</w:t>
      </w:r>
    </w:p>
    <w:p>
      <w:pPr>
        <w:pStyle w:val="Corpodotexto"/>
        <w:spacing w:lineRule="auto" w:line="240"/>
        <w:jc w:val="both"/>
        <w:rPr>
          <w:rFonts w:ascii="Verdana" w:hAnsi="Verdana"/>
          <w:sz w:val="20"/>
          <w:szCs w:val="20"/>
        </w:rPr>
      </w:pPr>
      <w:r>
        <w:rPr>
          <w:rFonts w:ascii="Verdana" w:hAnsi="Verdana"/>
          <w:sz w:val="20"/>
          <w:szCs w:val="20"/>
        </w:rPr>
        <w:t>6.1.2.1. Uma vez convocado, o leiloeiro público oficial será responsável por todas as etapas de preparação do leilão, sem ônus para a Administração Pública Municipal. Essas etapas incluem:</w:t>
      </w:r>
    </w:p>
    <w:p>
      <w:pPr>
        <w:pStyle w:val="Corpodotexto"/>
        <w:spacing w:lineRule="auto" w:line="240"/>
        <w:jc w:val="both"/>
        <w:rPr>
          <w:rFonts w:ascii="Verdana" w:hAnsi="Verdana"/>
          <w:sz w:val="20"/>
          <w:szCs w:val="20"/>
        </w:rPr>
      </w:pPr>
      <w:r>
        <w:rPr>
          <w:rFonts w:ascii="Verdana" w:hAnsi="Verdana"/>
          <w:sz w:val="20"/>
          <w:szCs w:val="20"/>
        </w:rPr>
        <w:t xml:space="preserve">• </w:t>
      </w:r>
      <w:r>
        <w:rPr>
          <w:rFonts w:ascii="Verdana" w:hAnsi="Verdana"/>
          <w:sz w:val="20"/>
          <w:szCs w:val="20"/>
        </w:rPr>
        <w:t>Vistoria e conferência dos bens: O leiloeiro ou sua equipe realizará a vistoria dos bens, conferindo a listagem fornecida pela Administração e verificando o estado real de cada item. Poderá ser feita a catalogação fotográfica dos bens.</w:t>
      </w:r>
    </w:p>
    <w:p>
      <w:pPr>
        <w:pStyle w:val="Corpodotexto"/>
        <w:spacing w:lineRule="auto" w:line="240"/>
        <w:jc w:val="both"/>
        <w:rPr>
          <w:rFonts w:ascii="Verdana" w:hAnsi="Verdana"/>
          <w:sz w:val="20"/>
          <w:szCs w:val="20"/>
        </w:rPr>
      </w:pPr>
      <w:r>
        <w:rPr>
          <w:rFonts w:ascii="Verdana" w:hAnsi="Verdana"/>
          <w:sz w:val="20"/>
          <w:szCs w:val="20"/>
        </w:rPr>
        <w:t xml:space="preserve">• </w:t>
      </w:r>
      <w:r>
        <w:rPr>
          <w:rFonts w:ascii="Verdana" w:hAnsi="Verdana"/>
          <w:sz w:val="20"/>
          <w:szCs w:val="20"/>
        </w:rPr>
        <w:t>Elaboração do Edital de Leilão: O leiloeiro, em conjunto com a Administração, elaborará o edital específico do leilão, que deverá conter:</w:t>
      </w:r>
    </w:p>
    <w:p>
      <w:pPr>
        <w:pStyle w:val="Corpodotexto"/>
        <w:spacing w:lineRule="auto" w:line="240"/>
        <w:jc w:val="both"/>
        <w:rPr>
          <w:rFonts w:ascii="Verdana" w:hAnsi="Verdana"/>
          <w:sz w:val="20"/>
          <w:szCs w:val="20"/>
        </w:rPr>
      </w:pPr>
      <w:r>
        <w:rPr>
          <w:rFonts w:ascii="Verdana" w:hAnsi="Verdana"/>
          <w:sz w:val="20"/>
          <w:szCs w:val="20"/>
        </w:rPr>
        <w:t xml:space="preserve">• </w:t>
      </w:r>
      <w:r>
        <w:rPr>
          <w:rFonts w:ascii="Verdana" w:hAnsi="Verdana"/>
          <w:sz w:val="20"/>
          <w:szCs w:val="20"/>
        </w:rPr>
        <w:t>Data, horário e local (físico e/ou online) do leilão.</w:t>
      </w:r>
    </w:p>
    <w:p>
      <w:pPr>
        <w:pStyle w:val="Corpodotexto"/>
        <w:spacing w:lineRule="auto" w:line="240"/>
        <w:jc w:val="both"/>
        <w:rPr>
          <w:rFonts w:ascii="Verdana" w:hAnsi="Verdana"/>
          <w:sz w:val="20"/>
          <w:szCs w:val="20"/>
        </w:rPr>
      </w:pPr>
      <w:r>
        <w:rPr>
          <w:rFonts w:ascii="Verdana" w:hAnsi="Verdana"/>
          <w:sz w:val="20"/>
          <w:szCs w:val="20"/>
        </w:rPr>
        <w:t xml:space="preserve">• </w:t>
      </w:r>
      <w:r>
        <w:rPr>
          <w:rFonts w:ascii="Verdana" w:hAnsi="Verdana"/>
          <w:sz w:val="20"/>
          <w:szCs w:val="20"/>
        </w:rPr>
        <w:t>Relação completa dos bens, com descrições detalhadas e fotos.</w:t>
      </w:r>
    </w:p>
    <w:p>
      <w:pPr>
        <w:pStyle w:val="Corpodotexto"/>
        <w:spacing w:lineRule="auto" w:line="240"/>
        <w:jc w:val="both"/>
        <w:rPr>
          <w:rFonts w:ascii="Verdana" w:hAnsi="Verdana"/>
          <w:sz w:val="20"/>
          <w:szCs w:val="20"/>
        </w:rPr>
      </w:pPr>
      <w:r>
        <w:rPr>
          <w:rFonts w:ascii="Verdana" w:hAnsi="Verdana"/>
          <w:sz w:val="20"/>
          <w:szCs w:val="20"/>
        </w:rPr>
        <w:t xml:space="preserve">• </w:t>
      </w:r>
      <w:r>
        <w:rPr>
          <w:rFonts w:ascii="Verdana" w:hAnsi="Verdana"/>
          <w:sz w:val="20"/>
          <w:szCs w:val="20"/>
        </w:rPr>
        <w:t>Valores mínimos de lance para cada item.</w:t>
      </w:r>
    </w:p>
    <w:p>
      <w:pPr>
        <w:pStyle w:val="Corpodotexto"/>
        <w:spacing w:lineRule="auto" w:line="240"/>
        <w:jc w:val="both"/>
        <w:rPr>
          <w:rFonts w:ascii="Verdana" w:hAnsi="Verdana"/>
          <w:sz w:val="20"/>
          <w:szCs w:val="20"/>
        </w:rPr>
      </w:pPr>
      <w:r>
        <w:rPr>
          <w:rFonts w:ascii="Verdana" w:hAnsi="Verdana"/>
          <w:sz w:val="20"/>
          <w:szCs w:val="20"/>
        </w:rPr>
        <w:t xml:space="preserve">• </w:t>
      </w:r>
      <w:r>
        <w:rPr>
          <w:rFonts w:ascii="Verdana" w:hAnsi="Verdana"/>
          <w:sz w:val="20"/>
          <w:szCs w:val="20"/>
        </w:rPr>
        <w:t>Condições de participação, pagamento e retirada dos bens.</w:t>
      </w:r>
    </w:p>
    <w:p>
      <w:pPr>
        <w:pStyle w:val="Corpodotexto"/>
        <w:spacing w:lineRule="auto" w:line="240"/>
        <w:jc w:val="both"/>
        <w:rPr>
          <w:rFonts w:ascii="Verdana" w:hAnsi="Verdana"/>
          <w:sz w:val="20"/>
          <w:szCs w:val="20"/>
        </w:rPr>
      </w:pPr>
      <w:r>
        <w:rPr>
          <w:rFonts w:ascii="Verdana" w:hAnsi="Verdana"/>
          <w:sz w:val="20"/>
          <w:szCs w:val="20"/>
        </w:rPr>
        <w:t xml:space="preserve">• </w:t>
      </w:r>
      <w:r>
        <w:rPr>
          <w:rFonts w:ascii="Verdana" w:hAnsi="Verdana"/>
          <w:sz w:val="20"/>
          <w:szCs w:val="20"/>
        </w:rPr>
        <w:t>Informações sobre a comissão do leiloeiro (percentual e responsabilidade do arrematante).</w:t>
      </w:r>
    </w:p>
    <w:p>
      <w:pPr>
        <w:pStyle w:val="Corpodotexto"/>
        <w:spacing w:lineRule="auto" w:line="240"/>
        <w:jc w:val="both"/>
        <w:rPr>
          <w:rFonts w:ascii="Verdana" w:hAnsi="Verdana"/>
          <w:sz w:val="20"/>
          <w:szCs w:val="20"/>
        </w:rPr>
      </w:pPr>
      <w:r>
        <w:rPr>
          <w:rFonts w:ascii="Verdana" w:hAnsi="Verdana"/>
          <w:sz w:val="20"/>
          <w:szCs w:val="20"/>
        </w:rPr>
        <w:t xml:space="preserve">• </w:t>
      </w:r>
      <w:r>
        <w:rPr>
          <w:rFonts w:ascii="Verdana" w:hAnsi="Verdana"/>
          <w:sz w:val="20"/>
          <w:szCs w:val="20"/>
        </w:rPr>
        <w:t>Disposições gerais e legais aplicáveis.</w:t>
      </w:r>
    </w:p>
    <w:p>
      <w:pPr>
        <w:pStyle w:val="Corpodotexto"/>
        <w:spacing w:lineRule="auto" w:line="240"/>
        <w:jc w:val="both"/>
        <w:rPr>
          <w:rFonts w:ascii="Verdana" w:hAnsi="Verdana"/>
          <w:sz w:val="20"/>
          <w:szCs w:val="20"/>
        </w:rPr>
      </w:pPr>
      <w:r>
        <w:rPr>
          <w:rFonts w:ascii="Verdana" w:hAnsi="Verdana"/>
          <w:sz w:val="20"/>
          <w:szCs w:val="20"/>
        </w:rPr>
        <w:t xml:space="preserve">• </w:t>
      </w:r>
      <w:r>
        <w:rPr>
          <w:rFonts w:ascii="Verdana" w:hAnsi="Verdana"/>
          <w:sz w:val="20"/>
          <w:szCs w:val="20"/>
        </w:rPr>
        <w:t>Publicidade e Divulgação: O leiloeiro será responsável pela ampla divulgação do leilão, utilizando os meios necessários para atrair o maior número de interessados, tais como:</w:t>
      </w:r>
    </w:p>
    <w:p>
      <w:pPr>
        <w:pStyle w:val="Corpodotexto"/>
        <w:spacing w:lineRule="auto" w:line="240"/>
        <w:jc w:val="both"/>
        <w:rPr>
          <w:rFonts w:ascii="Verdana" w:hAnsi="Verdana"/>
          <w:sz w:val="20"/>
          <w:szCs w:val="20"/>
        </w:rPr>
      </w:pPr>
      <w:r>
        <w:rPr>
          <w:rFonts w:ascii="Verdana" w:hAnsi="Verdana"/>
          <w:sz w:val="20"/>
          <w:szCs w:val="20"/>
        </w:rPr>
        <w:t xml:space="preserve">• </w:t>
      </w:r>
      <w:r>
        <w:rPr>
          <w:rFonts w:ascii="Verdana" w:hAnsi="Verdana"/>
          <w:sz w:val="20"/>
          <w:szCs w:val="20"/>
        </w:rPr>
        <w:t>Publicação do edital em jornais de grande circulação (se exigido por lei ou regulamento municipal).</w:t>
      </w:r>
    </w:p>
    <w:p>
      <w:pPr>
        <w:pStyle w:val="Corpodotexto"/>
        <w:spacing w:lineRule="auto" w:line="240"/>
        <w:jc w:val="both"/>
        <w:rPr>
          <w:rFonts w:ascii="Verdana" w:hAnsi="Verdana"/>
          <w:sz w:val="20"/>
          <w:szCs w:val="20"/>
        </w:rPr>
      </w:pPr>
      <w:r>
        <w:rPr>
          <w:rFonts w:ascii="Verdana" w:hAnsi="Verdana"/>
          <w:sz w:val="20"/>
          <w:szCs w:val="20"/>
        </w:rPr>
        <w:t xml:space="preserve">• </w:t>
      </w:r>
      <w:r>
        <w:rPr>
          <w:rFonts w:ascii="Verdana" w:hAnsi="Verdana"/>
          <w:sz w:val="20"/>
          <w:szCs w:val="20"/>
        </w:rPr>
        <w:t>Divulgação em sítios eletrônicos especializados em leilões e no sítio oficial da Administração Pública.</w:t>
      </w:r>
    </w:p>
    <w:p>
      <w:pPr>
        <w:pStyle w:val="Corpodotexto"/>
        <w:spacing w:lineRule="auto" w:line="240"/>
        <w:jc w:val="both"/>
        <w:rPr>
          <w:rFonts w:ascii="Verdana" w:hAnsi="Verdana"/>
          <w:sz w:val="20"/>
          <w:szCs w:val="20"/>
        </w:rPr>
      </w:pPr>
      <w:r>
        <w:rPr>
          <w:rFonts w:ascii="Verdana" w:hAnsi="Verdana"/>
          <w:sz w:val="20"/>
          <w:szCs w:val="20"/>
        </w:rPr>
        <w:t xml:space="preserve">• </w:t>
      </w:r>
      <w:r>
        <w:rPr>
          <w:rFonts w:ascii="Verdana" w:hAnsi="Verdana"/>
          <w:sz w:val="20"/>
          <w:szCs w:val="20"/>
        </w:rPr>
        <w:t>Envio de e-mails marketing e uso de redes sociais.</w:t>
      </w:r>
    </w:p>
    <w:p>
      <w:pPr>
        <w:pStyle w:val="Corpodotexto"/>
        <w:spacing w:lineRule="auto" w:line="240" w:before="230" w:after="283"/>
        <w:jc w:val="both"/>
        <w:rPr>
          <w:rFonts w:ascii="Verdana" w:hAnsi="Verdana"/>
          <w:sz w:val="20"/>
          <w:szCs w:val="20"/>
        </w:rPr>
      </w:pPr>
      <w:r>
        <w:rPr>
          <w:rFonts w:ascii="Verdana" w:hAnsi="Verdana"/>
          <w:sz w:val="20"/>
          <w:szCs w:val="20"/>
        </w:rPr>
        <w:t xml:space="preserve">• </w:t>
      </w:r>
      <w:r>
        <w:rPr>
          <w:rFonts w:ascii="Verdana" w:hAnsi="Verdana"/>
          <w:sz w:val="20"/>
          <w:szCs w:val="20"/>
        </w:rPr>
        <w:t>Exposição dos bens (física ou virtual) em período anterior ao leilão, para que os interessados possam vistoriar os itens.</w:t>
      </w:r>
    </w:p>
    <w:p>
      <w:pPr>
        <w:pStyle w:val="Ttulo3"/>
        <w:spacing w:lineRule="auto" w:line="240" w:before="126" w:after="126"/>
        <w:jc w:val="both"/>
        <w:rPr>
          <w:rFonts w:ascii="Verdana" w:hAnsi="Verdana"/>
          <w:sz w:val="20"/>
          <w:szCs w:val="20"/>
        </w:rPr>
      </w:pPr>
      <w:r>
        <w:rPr>
          <w:rFonts w:ascii="Verdana" w:hAnsi="Verdana"/>
          <w:b/>
          <w:bCs/>
          <w:i w:val="false"/>
          <w:iCs w:val="false"/>
          <w:sz w:val="20"/>
          <w:szCs w:val="20"/>
        </w:rPr>
        <w:t>6.1.3. Realização do Leilão</w:t>
      </w:r>
    </w:p>
    <w:p>
      <w:pPr>
        <w:pStyle w:val="Corpodotexto"/>
        <w:spacing w:lineRule="auto" w:line="240"/>
        <w:jc w:val="both"/>
        <w:rPr>
          <w:rFonts w:ascii="Verdana" w:hAnsi="Verdana"/>
          <w:sz w:val="20"/>
          <w:szCs w:val="20"/>
        </w:rPr>
      </w:pPr>
      <w:r>
        <w:rPr>
          <w:rFonts w:ascii="Verdana" w:hAnsi="Verdana"/>
          <w:sz w:val="20"/>
          <w:szCs w:val="20"/>
        </w:rPr>
        <w:t>6.1.3.1. O leilão poderá ser realizado de forma presencial, online ou mista (simultânea), conforme as condições estabelecidas no edital de credenciamento e no edital específico do leilão. O leiloeiro público oficial conduzirá o ato, observando as seguintes diretrizes:</w:t>
      </w:r>
    </w:p>
    <w:p>
      <w:pPr>
        <w:pStyle w:val="Corpodotexto"/>
        <w:spacing w:lineRule="auto" w:line="240"/>
        <w:jc w:val="both"/>
        <w:rPr>
          <w:rFonts w:ascii="Verdana" w:hAnsi="Verdana"/>
          <w:sz w:val="20"/>
          <w:szCs w:val="20"/>
        </w:rPr>
      </w:pPr>
      <w:r>
        <w:rPr>
          <w:rFonts w:ascii="Verdana" w:hAnsi="Verdana"/>
          <w:sz w:val="20"/>
          <w:szCs w:val="20"/>
        </w:rPr>
        <w:t xml:space="preserve">• </w:t>
      </w:r>
      <w:r>
        <w:rPr>
          <w:rFonts w:ascii="Verdana" w:hAnsi="Verdana"/>
          <w:sz w:val="20"/>
          <w:szCs w:val="20"/>
        </w:rPr>
        <w:t>Condução do pregão: O leiloeiro anunciará os bens, os lances e o arrematante, garantindo a lisura e a transparência do processo.</w:t>
      </w:r>
    </w:p>
    <w:p>
      <w:pPr>
        <w:pStyle w:val="Corpodotexto"/>
        <w:spacing w:lineRule="auto" w:line="240"/>
        <w:jc w:val="both"/>
        <w:rPr>
          <w:rFonts w:ascii="Verdana" w:hAnsi="Verdana"/>
          <w:sz w:val="20"/>
          <w:szCs w:val="20"/>
        </w:rPr>
      </w:pPr>
      <w:r>
        <w:rPr>
          <w:rFonts w:ascii="Verdana" w:hAnsi="Verdana"/>
          <w:sz w:val="20"/>
          <w:szCs w:val="20"/>
        </w:rPr>
        <w:t xml:space="preserve">• </w:t>
      </w:r>
      <w:r>
        <w:rPr>
          <w:rFonts w:ascii="Verdana" w:hAnsi="Verdana"/>
          <w:sz w:val="20"/>
          <w:szCs w:val="20"/>
        </w:rPr>
        <w:t>Registro dos lances: Todos os lances serão registrados, seja em ata física ou em sistema eletrônico, com identificação dos participantes.</w:t>
      </w:r>
    </w:p>
    <w:p>
      <w:pPr>
        <w:pStyle w:val="Corpodotexto"/>
        <w:spacing w:lineRule="auto" w:line="240"/>
        <w:jc w:val="both"/>
        <w:rPr>
          <w:rFonts w:ascii="Verdana" w:hAnsi="Verdana"/>
          <w:sz w:val="20"/>
          <w:szCs w:val="20"/>
        </w:rPr>
      </w:pPr>
      <w:r>
        <w:rPr>
          <w:rFonts w:ascii="Verdana" w:hAnsi="Verdana"/>
          <w:sz w:val="20"/>
          <w:szCs w:val="20"/>
        </w:rPr>
        <w:t xml:space="preserve">• </w:t>
      </w:r>
      <w:r>
        <w:rPr>
          <w:rFonts w:ascii="Verdana" w:hAnsi="Verdana"/>
          <w:sz w:val="20"/>
          <w:szCs w:val="20"/>
        </w:rPr>
        <w:t>Arrematação: O bem será arrematado pelo maior lance oferecido, desde que superior ao valor mínimo estabelecido.</w:t>
      </w:r>
    </w:p>
    <w:p>
      <w:pPr>
        <w:pStyle w:val="Corpodotexto"/>
        <w:spacing w:lineRule="auto" w:line="240" w:before="230" w:after="283"/>
        <w:jc w:val="both"/>
        <w:rPr>
          <w:rFonts w:ascii="Verdana" w:hAnsi="Verdana"/>
          <w:sz w:val="20"/>
          <w:szCs w:val="20"/>
        </w:rPr>
      </w:pPr>
      <w:r>
        <w:rPr>
          <w:rFonts w:ascii="Verdana" w:hAnsi="Verdana"/>
          <w:sz w:val="20"/>
          <w:szCs w:val="20"/>
        </w:rPr>
        <w:t xml:space="preserve">• </w:t>
      </w:r>
      <w:r>
        <w:rPr>
          <w:rFonts w:ascii="Verdana" w:hAnsi="Verdana"/>
          <w:sz w:val="20"/>
          <w:szCs w:val="20"/>
        </w:rPr>
        <w:t>Assinatura da Ata: Ao final do leilão, será lavrada ata circunstanciada, contendo todas as informações relevantes, como os bens leiloados, os valores de arrematação e os dados dos arrematantes.</w:t>
      </w:r>
    </w:p>
    <w:p>
      <w:pPr>
        <w:pStyle w:val="Ttulo3"/>
        <w:spacing w:lineRule="auto" w:line="240" w:before="183" w:after="183"/>
        <w:jc w:val="both"/>
        <w:rPr>
          <w:rFonts w:ascii="Verdana" w:hAnsi="Verdana"/>
          <w:sz w:val="20"/>
          <w:szCs w:val="20"/>
        </w:rPr>
      </w:pPr>
      <w:r>
        <w:rPr>
          <w:rFonts w:ascii="Verdana" w:hAnsi="Verdana"/>
          <w:b/>
          <w:bCs/>
          <w:i w:val="false"/>
          <w:iCs w:val="false"/>
          <w:sz w:val="20"/>
          <w:szCs w:val="20"/>
        </w:rPr>
        <w:t>6.1.4. Pós-Leilão</w:t>
      </w:r>
    </w:p>
    <w:p>
      <w:pPr>
        <w:pStyle w:val="Corpodotexto"/>
        <w:spacing w:lineRule="auto" w:line="240"/>
        <w:jc w:val="both"/>
        <w:rPr>
          <w:rFonts w:ascii="Verdana" w:hAnsi="Verdana"/>
          <w:sz w:val="20"/>
          <w:szCs w:val="20"/>
        </w:rPr>
      </w:pPr>
      <w:r>
        <w:rPr>
          <w:rFonts w:ascii="Verdana" w:hAnsi="Verdana"/>
          <w:sz w:val="20"/>
          <w:szCs w:val="20"/>
        </w:rPr>
        <w:t>61.4.1. Após a realização do leilão, o leiloeiro será responsável pelas seguintes etapas:</w:t>
      </w:r>
    </w:p>
    <w:p>
      <w:pPr>
        <w:pStyle w:val="Corpodotexto"/>
        <w:spacing w:lineRule="auto" w:line="240"/>
        <w:jc w:val="both"/>
        <w:rPr>
          <w:rFonts w:ascii="Verdana" w:hAnsi="Verdana"/>
          <w:sz w:val="20"/>
          <w:szCs w:val="20"/>
        </w:rPr>
      </w:pPr>
      <w:r>
        <w:rPr>
          <w:rFonts w:ascii="Verdana" w:hAnsi="Verdana"/>
          <w:sz w:val="20"/>
          <w:szCs w:val="20"/>
        </w:rPr>
        <w:t xml:space="preserve">• </w:t>
      </w:r>
      <w:r>
        <w:rPr>
          <w:rFonts w:ascii="Verdana" w:hAnsi="Verdana"/>
          <w:sz w:val="20"/>
          <w:szCs w:val="20"/>
        </w:rPr>
        <w:t>Recebimento dos valores: O leiloeiro receberá os valores de arrematação diretamente dos arrematantes, bem como sua comissão.</w:t>
      </w:r>
    </w:p>
    <w:p>
      <w:pPr>
        <w:pStyle w:val="Corpodotexto"/>
        <w:spacing w:lineRule="auto" w:line="240"/>
        <w:jc w:val="both"/>
        <w:rPr>
          <w:rFonts w:ascii="Verdana" w:hAnsi="Verdana"/>
          <w:sz w:val="20"/>
          <w:szCs w:val="20"/>
        </w:rPr>
      </w:pPr>
      <w:r>
        <w:rPr>
          <w:rFonts w:ascii="Verdana" w:hAnsi="Verdana"/>
          <w:sz w:val="20"/>
          <w:szCs w:val="20"/>
        </w:rPr>
        <w:t xml:space="preserve">• </w:t>
      </w:r>
      <w:r>
        <w:rPr>
          <w:rFonts w:ascii="Verdana" w:hAnsi="Verdana"/>
          <w:sz w:val="20"/>
          <w:szCs w:val="20"/>
        </w:rPr>
        <w:t>Prestação de contas: O leiloeiro deverá prestar contas à Administração Pública Municipal, repassando os valores arrecadados com a venda dos bens, deduzindo apenas os valores referentes a impostos e taxas que porventura sejam de responsabilidade do leiloeiro, conforme acordado em edital.</w:t>
      </w:r>
    </w:p>
    <w:p>
      <w:pPr>
        <w:pStyle w:val="Corpodotexto"/>
        <w:spacing w:lineRule="auto" w:line="240"/>
        <w:jc w:val="both"/>
        <w:rPr>
          <w:rFonts w:ascii="Verdana" w:hAnsi="Verdana"/>
          <w:sz w:val="20"/>
          <w:szCs w:val="20"/>
        </w:rPr>
      </w:pPr>
      <w:r>
        <w:rPr>
          <w:rFonts w:ascii="Verdana" w:hAnsi="Verdana"/>
          <w:sz w:val="20"/>
          <w:szCs w:val="20"/>
        </w:rPr>
        <w:t xml:space="preserve">• </w:t>
      </w:r>
      <w:r>
        <w:rPr>
          <w:rFonts w:ascii="Verdana" w:hAnsi="Verdana"/>
          <w:sz w:val="20"/>
          <w:szCs w:val="20"/>
        </w:rPr>
        <w:t>Emissão de documentos: Emissão das notas de venda e demais documentos necessários para a transferência da propriedade dos bens aos arrematantes.</w:t>
      </w:r>
    </w:p>
    <w:p>
      <w:pPr>
        <w:pStyle w:val="Corpodotexto"/>
        <w:spacing w:lineRule="auto" w:line="240"/>
        <w:jc w:val="both"/>
        <w:rPr>
          <w:rFonts w:ascii="Verdana" w:hAnsi="Verdana"/>
          <w:sz w:val="20"/>
          <w:szCs w:val="20"/>
        </w:rPr>
      </w:pPr>
      <w:r>
        <w:rPr>
          <w:rFonts w:ascii="Verdana" w:hAnsi="Verdana"/>
          <w:sz w:val="20"/>
          <w:szCs w:val="20"/>
        </w:rPr>
        <w:t xml:space="preserve">• </w:t>
      </w:r>
      <w:r>
        <w:rPr>
          <w:rFonts w:ascii="Verdana" w:hAnsi="Verdana"/>
          <w:sz w:val="20"/>
          <w:szCs w:val="20"/>
        </w:rPr>
        <w:t>Liberação dos bens: O leiloeiro coordenará a liberação dos bens aos arrematantes, após a comprovação do pagamento integral e a apresentação dos documentos necessários.</w:t>
      </w:r>
    </w:p>
    <w:p>
      <w:pPr>
        <w:pStyle w:val="Corpodotexto"/>
        <w:spacing w:lineRule="auto" w:line="240" w:before="230" w:after="283"/>
        <w:jc w:val="both"/>
        <w:rPr>
          <w:rFonts w:ascii="Verdana" w:hAnsi="Verdana"/>
          <w:sz w:val="20"/>
          <w:szCs w:val="20"/>
        </w:rPr>
      </w:pPr>
      <w:r>
        <w:rPr>
          <w:rFonts w:ascii="Verdana" w:hAnsi="Verdana"/>
          <w:sz w:val="20"/>
          <w:szCs w:val="20"/>
        </w:rPr>
        <w:t>6.1.4.2. Todo o processo será acompanhado e fiscalizado pela Administração Pública Municipal, que terá acesso a todas as informações e documentos relacionados aos leilões, garantindo a conformidade e a segurança jurídica das operações.</w:t>
      </w:r>
    </w:p>
    <w:p>
      <w:pPr>
        <w:pStyle w:val="Ttulo2"/>
        <w:spacing w:lineRule="auto" w:line="240" w:before="0" w:after="0"/>
        <w:jc w:val="both"/>
        <w:rPr>
          <w:rFonts w:ascii="Verdana" w:hAnsi="Verdana"/>
          <w:sz w:val="20"/>
          <w:szCs w:val="20"/>
        </w:rPr>
      </w:pPr>
      <w:r>
        <w:rPr>
          <w:rFonts w:ascii="Verdana" w:hAnsi="Verdana"/>
          <w:sz w:val="20"/>
          <w:szCs w:val="20"/>
        </w:rPr>
        <w:t>7. JUSTIFICATIVA DA ESCOLHA DO CREDENCIAMENTO</w:t>
      </w:r>
    </w:p>
    <w:p>
      <w:pPr>
        <w:pStyle w:val="Corpodotexto"/>
        <w:spacing w:lineRule="auto" w:line="240" w:before="0" w:after="0"/>
        <w:jc w:val="both"/>
        <w:rPr>
          <w:rFonts w:ascii="Verdana" w:hAnsi="Verdana"/>
          <w:sz w:val="20"/>
          <w:szCs w:val="20"/>
        </w:rPr>
      </w:pPr>
      <w:r>
        <w:rPr>
          <w:rFonts w:ascii="Verdana" w:hAnsi="Verdana"/>
          <w:sz w:val="20"/>
          <w:szCs w:val="20"/>
        </w:rPr>
        <w:t>7.1. A escolha da modalidade de credenciamento para a contratação de leiloeiros públicos oficiais, em detrimento de outras modalidades licitatórias, justifica-se por uma série de fatores que se alinham aos princípios da eficiência, economicidade, agilidade e transparência, conforme preconiza a Lei nº 14.133/2021.</w:t>
      </w:r>
    </w:p>
    <w:p>
      <w:pPr>
        <w:pStyle w:val="Corpodotexto"/>
        <w:spacing w:lineRule="auto" w:line="240" w:before="0" w:after="0"/>
        <w:jc w:val="both"/>
        <w:rPr>
          <w:rFonts w:ascii="Verdana" w:hAnsi="Verdana"/>
          <w:sz w:val="20"/>
          <w:szCs w:val="20"/>
        </w:rPr>
      </w:pPr>
      <w:r>
        <w:rPr>
          <w:rFonts w:ascii="Verdana" w:hAnsi="Verdana"/>
          <w:sz w:val="20"/>
          <w:szCs w:val="20"/>
        </w:rPr>
      </w:r>
    </w:p>
    <w:p>
      <w:pPr>
        <w:pStyle w:val="Textoprformatado"/>
        <w:spacing w:lineRule="auto" w:line="240"/>
        <w:jc w:val="both"/>
        <w:rPr/>
      </w:pPr>
      <w:r>
        <w:rPr>
          <w:rStyle w:val="Cdigo-fonte"/>
          <w:rFonts w:cs="Arial" w:ascii="Verdana" w:hAnsi="Verdana"/>
          <w:b/>
          <w:bCs/>
          <w:sz w:val="20"/>
          <w:szCs w:val="20"/>
        </w:rPr>
        <w:t>8. DA FORMA DE DISTRIBUIÇÃO DOS SERVIÇOS AOS LEILOEIROS CREDENCIADOS</w:t>
      </w:r>
    </w:p>
    <w:p>
      <w:pPr>
        <w:pStyle w:val="Textoprformatado"/>
        <w:spacing w:lineRule="auto" w:line="240"/>
        <w:jc w:val="both"/>
        <w:rPr/>
      </w:pPr>
      <w:r>
        <w:rPr>
          <w:rStyle w:val="Cdigo-fonte"/>
          <w:rFonts w:cs="Arial" w:ascii="Verdana" w:hAnsi="Verdana"/>
          <w:sz w:val="20"/>
          <w:szCs w:val="20"/>
        </w:rPr>
        <w:t>8.1. A comissão especial de credenciamento e leilão da Contratante divulgará pelos meios oficiais, ou no www.soagabriel.es.gov.br, a lista com o resultado do credenciamento, justificando a inabilitação, se houver, cabendo recurso no prazo de cinco dias úteis, a partir da divulgação.</w:t>
      </w:r>
    </w:p>
    <w:p>
      <w:pPr>
        <w:pStyle w:val="Textoprformatado"/>
        <w:spacing w:lineRule="auto" w:line="240"/>
        <w:jc w:val="both"/>
        <w:rPr/>
      </w:pPr>
      <w:r>
        <w:rPr>
          <w:rStyle w:val="Cdigo-fonte"/>
          <w:rFonts w:cs="Arial" w:ascii="Verdana" w:hAnsi="Verdana"/>
          <w:sz w:val="20"/>
          <w:szCs w:val="20"/>
        </w:rPr>
        <w:t>8.1.1. A comissão especial de credenciamento e de leilões da Contratante divulgará a lista definitiva dos habilitados, após a conclusão da análise dos eventuais recursos.</w:t>
      </w:r>
    </w:p>
    <w:p>
      <w:pPr>
        <w:pStyle w:val="Textoprformatado"/>
        <w:spacing w:lineRule="auto" w:line="240"/>
        <w:jc w:val="both"/>
        <w:rPr/>
      </w:pPr>
      <w:r>
        <w:rPr>
          <w:rStyle w:val="Cdigo-fonte"/>
          <w:rFonts w:cs="Arial" w:ascii="Verdana" w:hAnsi="Verdana"/>
          <w:sz w:val="20"/>
          <w:szCs w:val="20"/>
        </w:rPr>
        <w:t>8.1.2. A partir da publicação da lista de iniciais habilitados, qualquer interessado poderá solicitar seu credenciamento, conforme exigências Edital de Credenciamento, inclusive os eventuais inabilitados na fase inicial, desde que cumpridas as condições deste Termo de Referência.</w:t>
      </w:r>
    </w:p>
    <w:p>
      <w:pPr>
        <w:pStyle w:val="Textoprformatado"/>
        <w:spacing w:lineRule="auto" w:line="240"/>
        <w:jc w:val="both"/>
        <w:rPr/>
      </w:pPr>
      <w:r>
        <w:rPr>
          <w:rStyle w:val="Cdigo-fonte"/>
          <w:rFonts w:cs="Arial" w:ascii="Verdana" w:hAnsi="Verdana"/>
          <w:sz w:val="20"/>
          <w:szCs w:val="20"/>
        </w:rPr>
        <w:t>8.1.3. A distribuição dos serviços se dará de acordo com as necessidades do CONTRATANTE e ocorrerá por meio de sorteio.</w:t>
      </w:r>
    </w:p>
    <w:p>
      <w:pPr>
        <w:pStyle w:val="Textoprformatado"/>
        <w:spacing w:lineRule="auto" w:line="240"/>
        <w:jc w:val="both"/>
        <w:rPr/>
      </w:pPr>
      <w:r>
        <w:rPr>
          <w:rStyle w:val="Cdigo-fonte"/>
          <w:rFonts w:cs="Arial" w:ascii="Verdana" w:hAnsi="Verdana"/>
          <w:sz w:val="20"/>
          <w:szCs w:val="20"/>
        </w:rPr>
        <w:t xml:space="preserve">8.1.4. </w:t>
      </w:r>
      <w:r>
        <w:rPr>
          <w:rStyle w:val="Cdigo-fonte"/>
          <w:rFonts w:cs="Arial" w:ascii="Verdana" w:hAnsi="Verdana"/>
          <w:sz w:val="20"/>
          <w:szCs w:val="20"/>
        </w:rPr>
        <w:t>O sorteio do primeiro leiloeiro se dará após publicação da lista definitiva dos credenciados, realizado em sessão pública previamente agendada, tendo como participantes somente os leiloeiros credenciados até aquela data citada no edital na respectiva sessão, sendo facultativo a presença dos credenciados.</w:t>
      </w:r>
    </w:p>
    <w:p>
      <w:pPr>
        <w:pStyle w:val="Textoprformatado"/>
        <w:spacing w:lineRule="auto" w:line="240"/>
        <w:jc w:val="both"/>
        <w:rPr/>
      </w:pPr>
      <w:r>
        <w:rPr>
          <w:rStyle w:val="Cdigo-fonte"/>
          <w:rFonts w:cs="Arial" w:ascii="Verdana" w:hAnsi="Verdana"/>
          <w:sz w:val="20"/>
          <w:szCs w:val="20"/>
        </w:rPr>
        <w:t>8.1.5. Os próximos sorteios serão realizados considerando os leiloeiros credenciados presentes na sessão pública de cada sorteio.</w:t>
      </w:r>
    </w:p>
    <w:p>
      <w:pPr>
        <w:pStyle w:val="Textoprformatado"/>
        <w:spacing w:lineRule="auto" w:line="240"/>
        <w:jc w:val="both"/>
        <w:rPr/>
      </w:pPr>
      <w:r>
        <w:rPr>
          <w:rStyle w:val="Cdigo-fonte"/>
          <w:rFonts w:cs="Arial" w:ascii="Verdana" w:hAnsi="Verdana"/>
          <w:sz w:val="20"/>
          <w:szCs w:val="20"/>
        </w:rPr>
        <w:t>8.1.6. É facultado ao leiloeiro sorteado recusar o serviço, devendo justificar a recusa no ato da sessão pública do sorteio, sendo realizado novo sorteio para a escolha de outro leiloeiro.</w:t>
      </w:r>
    </w:p>
    <w:p>
      <w:pPr>
        <w:pStyle w:val="Textoprformatado"/>
        <w:spacing w:lineRule="auto" w:line="240"/>
        <w:jc w:val="both"/>
        <w:rPr/>
      </w:pPr>
      <w:r>
        <w:rPr>
          <w:rStyle w:val="Cdigo-fonte"/>
          <w:rFonts w:cs="Arial" w:ascii="Verdana" w:hAnsi="Verdana"/>
          <w:sz w:val="20"/>
          <w:szCs w:val="20"/>
        </w:rPr>
        <w:t>8.1.7. Os sorteios serão realizados após a definição dos tipos de bens objeto de cada Leilão.</w:t>
      </w:r>
    </w:p>
    <w:p>
      <w:pPr>
        <w:pStyle w:val="Textoprformatado"/>
        <w:spacing w:lineRule="auto" w:line="240"/>
        <w:jc w:val="both"/>
        <w:rPr/>
      </w:pPr>
      <w:r>
        <w:rPr>
          <w:rStyle w:val="Cdigo-fonte"/>
          <w:rFonts w:cs="Arial" w:ascii="Verdana" w:hAnsi="Verdana"/>
          <w:sz w:val="20"/>
          <w:szCs w:val="20"/>
        </w:rPr>
        <w:t>8.1.8. O leiloeiro sorteado será convocado para a assinatura do contrato de prestação de serviços junto ao CONTRATANTE, respeitando os critérios previstos no presente instrumento.</w:t>
      </w:r>
    </w:p>
    <w:p>
      <w:pPr>
        <w:pStyle w:val="Textoprformatado"/>
        <w:spacing w:lineRule="auto" w:line="240"/>
        <w:jc w:val="both"/>
        <w:rPr/>
      </w:pPr>
      <w:r>
        <w:rPr>
          <w:rStyle w:val="Cdigo-fonte"/>
          <w:rFonts w:cs="Arial" w:ascii="Verdana" w:hAnsi="Verdana"/>
          <w:sz w:val="20"/>
          <w:szCs w:val="20"/>
        </w:rPr>
        <w:t>8.1.9. Os procedimentos pertinentes a sorteio de leiloeiros e realização de novos certames poderão ocorrer concomitantes com o prazo de vigência de contrato com leiloeiro antecedente.</w:t>
      </w:r>
    </w:p>
    <w:p>
      <w:pPr>
        <w:pStyle w:val="Textoprformatado"/>
        <w:spacing w:lineRule="auto" w:line="240"/>
        <w:jc w:val="both"/>
        <w:rPr/>
      </w:pPr>
      <w:r>
        <w:rPr>
          <w:rStyle w:val="Cdigo-fonte"/>
          <w:rFonts w:cs="Arial" w:ascii="Verdana" w:hAnsi="Verdana"/>
          <w:sz w:val="20"/>
          <w:szCs w:val="20"/>
        </w:rPr>
        <w:t>8.1.10. O leiloeiro que se recusar a realizar o Leilão na sua ordem de convocação entrará no próximo sorteio a ser realizado, exceto se estiver suspenso ou impedido.</w:t>
      </w:r>
    </w:p>
    <w:p>
      <w:pPr>
        <w:pStyle w:val="Textoprformatado"/>
        <w:spacing w:lineRule="auto" w:line="240"/>
        <w:jc w:val="both"/>
        <w:rPr/>
      </w:pPr>
      <w:r>
        <w:rPr>
          <w:rStyle w:val="Cdigo-fonte"/>
          <w:rFonts w:cs="Arial" w:ascii="Verdana" w:hAnsi="Verdana"/>
          <w:sz w:val="20"/>
          <w:szCs w:val="20"/>
        </w:rPr>
        <w:t>8.1.11. O leiloeiro contratado não poderá participar dos sorteios seguintes, até que todos os credenciados sejam contratados, ocasião em que os sorteios serão reiniciados contemplando todos os leiloeiros credenciados.</w:t>
      </w:r>
    </w:p>
    <w:p>
      <w:pPr>
        <w:pStyle w:val="Textoprformatado"/>
        <w:spacing w:lineRule="auto" w:line="240"/>
        <w:jc w:val="both"/>
        <w:rPr/>
      </w:pPr>
      <w:r>
        <w:rPr>
          <w:rStyle w:val="Cdigo-fonte"/>
          <w:rFonts w:cs="Arial" w:ascii="Verdana" w:hAnsi="Verdana"/>
          <w:sz w:val="20"/>
          <w:szCs w:val="20"/>
        </w:rPr>
        <w:t>8.1.12. O leiloeiro que recusar o serviço por 03 (três) vezes durante a validade do credenciamento será descredenciado, independente do motivo.</w:t>
      </w:r>
    </w:p>
    <w:p>
      <w:pPr>
        <w:pStyle w:val="Textoprformatado"/>
        <w:spacing w:lineRule="auto" w:line="240"/>
        <w:jc w:val="both"/>
        <w:rPr/>
      </w:pPr>
      <w:r>
        <w:rPr>
          <w:rStyle w:val="Cdigo-fonte"/>
          <w:rFonts w:cs="Arial" w:ascii="Verdana" w:hAnsi="Verdana"/>
          <w:sz w:val="20"/>
          <w:szCs w:val="20"/>
        </w:rPr>
        <w:t>8.1.13. Em caso de rescisão contratual, será realizado um novo sorteio e convocado o próximo leiloeiro credenciado, observados os critérios deste Termo de Referência para distribuição.</w:t>
      </w:r>
    </w:p>
    <w:p>
      <w:pPr>
        <w:pStyle w:val="Textoprformatado"/>
        <w:spacing w:lineRule="auto" w:line="240"/>
        <w:jc w:val="both"/>
        <w:rPr>
          <w:rFonts w:ascii="Verdana" w:hAnsi="Verdana" w:cs="Arial"/>
          <w:sz w:val="20"/>
          <w:szCs w:val="20"/>
        </w:rPr>
      </w:pPr>
      <w:r>
        <w:rPr>
          <w:rFonts w:cs="Arial" w:ascii="Verdana" w:hAnsi="Verdana"/>
          <w:sz w:val="20"/>
          <w:szCs w:val="20"/>
        </w:rPr>
      </w:r>
    </w:p>
    <w:p>
      <w:pPr>
        <w:pStyle w:val="Textoprformatado"/>
        <w:spacing w:lineRule="auto" w:line="240"/>
        <w:jc w:val="both"/>
        <w:rPr/>
      </w:pPr>
      <w:r>
        <w:rPr>
          <w:rStyle w:val="Cdigo-fonte"/>
          <w:rFonts w:cs="Arial" w:ascii="Verdana" w:hAnsi="Verdana"/>
          <w:b/>
          <w:bCs/>
          <w:sz w:val="20"/>
          <w:szCs w:val="20"/>
        </w:rPr>
        <w:t>9. INFORMAÇÕES E IMPUGNAÇÃO</w:t>
      </w:r>
    </w:p>
    <w:p>
      <w:pPr>
        <w:pStyle w:val="Textoprformatado"/>
        <w:spacing w:lineRule="auto" w:line="240"/>
        <w:jc w:val="both"/>
        <w:rPr/>
      </w:pPr>
      <w:r>
        <w:rPr>
          <w:rStyle w:val="Cdigo-fonte"/>
          <w:rFonts w:cs="Arial" w:ascii="Verdana" w:hAnsi="Verdana"/>
          <w:sz w:val="20"/>
          <w:szCs w:val="20"/>
        </w:rPr>
        <w:t>9.1 Após a publicação do aviso de credenciamento, qualquer pessoa, física ou jurídica, poderá protocolar pedidos de esclarecimentos, providências ou impugnar o ato convocatório deste Credenciamento mediante petição protocolado no Protocolo Geral desta Prefeitura Municipal, localizado no prédio da Prefeitura, situado à Praça Vicente Glazar nº 159, Centro, São Gabriel da Palha, ES, em dias úteis, de segunda a quinta-feira no horário de 13h00min as 18h00min horas e nas sextas-feiras no horário de 07h00min às 13h00min horas;</w:t>
      </w:r>
    </w:p>
    <w:p>
      <w:pPr>
        <w:pStyle w:val="Textoprformatado"/>
        <w:spacing w:lineRule="auto" w:line="240"/>
        <w:jc w:val="both"/>
        <w:rPr/>
      </w:pPr>
      <w:r>
        <w:rPr>
          <w:rStyle w:val="Cdigo-fonte"/>
          <w:rFonts w:cs="Arial" w:ascii="Verdana" w:hAnsi="Verdana"/>
          <w:sz w:val="20"/>
          <w:szCs w:val="20"/>
        </w:rPr>
        <w:t>9.2 O pedido de informações ou impugnação ao edital deverá ser encaminhado ao e-mail licitacao@saogabriel.es.gov.br.</w:t>
      </w:r>
    </w:p>
    <w:p>
      <w:pPr>
        <w:pStyle w:val="Textoprformatado"/>
        <w:spacing w:lineRule="auto" w:line="240"/>
        <w:jc w:val="both"/>
        <w:rPr/>
      </w:pPr>
      <w:r>
        <w:rPr>
          <w:rStyle w:val="Cdigo-fonte"/>
          <w:rFonts w:cs="Arial" w:ascii="Verdana" w:hAnsi="Verdana"/>
          <w:sz w:val="20"/>
          <w:szCs w:val="20"/>
        </w:rPr>
        <w:t>9.3 O pedido de informações ou impugnação deverá ser formalizado por representante legal devidamente identificado, mediante apresentação de documento pertinente.</w:t>
      </w:r>
    </w:p>
    <w:p>
      <w:pPr>
        <w:pStyle w:val="Textoprformatado"/>
        <w:spacing w:lineRule="auto" w:line="240"/>
        <w:jc w:val="both"/>
        <w:rPr/>
      </w:pPr>
      <w:r>
        <w:rPr>
          <w:rStyle w:val="Cdigo-fonte"/>
          <w:rFonts w:cs="Arial" w:ascii="Verdana" w:hAnsi="Verdana"/>
          <w:sz w:val="20"/>
          <w:szCs w:val="20"/>
        </w:rPr>
        <w:t>9.4. A ausência de impugnação tempestiva, ou protocolada em local diverso do mencionado neste Edital, acarreta a decadência do direito de arguir as regras deste credenciamento.</w:t>
      </w:r>
    </w:p>
    <w:p>
      <w:pPr>
        <w:pStyle w:val="Textoprformatado"/>
        <w:spacing w:lineRule="auto" w:line="240"/>
        <w:jc w:val="both"/>
        <w:rPr/>
      </w:pPr>
      <w:r>
        <w:rPr>
          <w:rStyle w:val="Cdigo-fonte"/>
          <w:rFonts w:cs="Arial" w:ascii="Verdana" w:hAnsi="Verdana"/>
          <w:sz w:val="20"/>
          <w:szCs w:val="20"/>
        </w:rPr>
        <w:t>9.5. Os interessados obrigam-se a acompanhar as publicações referentes ao processo no endereço eletrônico https://saogabriel.es.gov.br.</w:t>
      </w:r>
    </w:p>
    <w:p>
      <w:pPr>
        <w:pStyle w:val="Textoprformatado"/>
        <w:spacing w:lineRule="auto" w:line="240"/>
        <w:jc w:val="both"/>
        <w:rPr/>
      </w:pPr>
      <w:r>
        <w:rPr>
          <w:rStyle w:val="Cdigo-fonte"/>
          <w:rFonts w:cs="Arial" w:ascii="Verdana" w:hAnsi="Verdana"/>
          <w:sz w:val="20"/>
          <w:szCs w:val="20"/>
        </w:rPr>
        <w:t>9.6. A Autoridade competente decidirá sobre a impugnação no prazo de 03 (três) dias úteis contados do ingresso da petição, e não sendo reconhecida, será mantido o edital incólume no decorrer de sua ancoragem;</w:t>
      </w:r>
    </w:p>
    <w:p>
      <w:pPr>
        <w:pStyle w:val="Textoprformatado"/>
        <w:spacing w:lineRule="auto" w:line="240"/>
        <w:jc w:val="both"/>
        <w:rPr/>
      </w:pPr>
      <w:r>
        <w:rPr>
          <w:rStyle w:val="Cdigo-fonte"/>
          <w:rFonts w:cs="Arial" w:ascii="Verdana" w:hAnsi="Verdana"/>
          <w:sz w:val="20"/>
          <w:szCs w:val="20"/>
        </w:rPr>
        <w:t>9.7. No caso do acolhimento da impugnação impetrada, a Comissão Especial, comunicará o fato à Secretaria Municipal de Administração, suspendendo o credenciamento até que sejam revistas as regras do edital, para assim, após eventual regularização de suas regras, proceder com nova publicação e abertura de novo prazo de ancoragem para o credenciamento;</w:t>
      </w:r>
    </w:p>
    <w:p>
      <w:pPr>
        <w:pStyle w:val="Textoprformatado"/>
        <w:spacing w:lineRule="auto" w:line="240"/>
        <w:jc w:val="both"/>
        <w:rPr/>
      </w:pPr>
      <w:r>
        <w:rPr>
          <w:rStyle w:val="Cdigo-fonte"/>
          <w:rFonts w:cs="Arial" w:ascii="Verdana" w:hAnsi="Verdana"/>
          <w:sz w:val="20"/>
          <w:szCs w:val="20"/>
        </w:rPr>
        <w:t>9.8. No caso de ocorrer a condição citada no parágrafo imediatamente anterior, a Comissão Especial, após cientificada da ocorrência, deverá certificar-se de que, a regra rebatida no edital ou a sua modificação, não venham a afetar a legalidade ou a executabilidade dos contratos existentes oriundos deste credenciamento;</w:t>
      </w:r>
    </w:p>
    <w:p>
      <w:pPr>
        <w:pStyle w:val="Textoprformatado"/>
        <w:spacing w:lineRule="auto" w:line="240"/>
        <w:jc w:val="both"/>
        <w:rPr/>
      </w:pPr>
      <w:r>
        <w:rPr>
          <w:rStyle w:val="Cdigo-fonte"/>
          <w:rFonts w:cs="Arial" w:ascii="Verdana" w:hAnsi="Verdana"/>
          <w:sz w:val="20"/>
          <w:szCs w:val="20"/>
        </w:rPr>
        <w:t>9.9 – Das decisões relacionadas a este procedimento cabem os recursos, adotando-se por analogia as regras previstas na Lei nº 14.133/2021.</w:t>
      </w:r>
    </w:p>
    <w:p>
      <w:pPr>
        <w:pStyle w:val="Textoprformatado"/>
        <w:spacing w:lineRule="auto" w:line="240"/>
        <w:jc w:val="both"/>
        <w:rPr/>
      </w:pPr>
      <w:r>
        <w:rPr>
          <w:rStyle w:val="Cdigo-fonte"/>
          <w:rFonts w:cs="Arial" w:ascii="Verdana" w:hAnsi="Verdana"/>
          <w:sz w:val="20"/>
          <w:szCs w:val="20"/>
        </w:rPr>
        <w:t>9.10 – Os recursos deverão observar os seguintes critérios:</w:t>
      </w:r>
    </w:p>
    <w:p>
      <w:pPr>
        <w:pStyle w:val="Textoprformatado"/>
        <w:spacing w:lineRule="auto" w:line="240"/>
        <w:jc w:val="both"/>
        <w:rPr/>
      </w:pPr>
      <w:r>
        <w:rPr>
          <w:rStyle w:val="Cdigo-fonte"/>
          <w:rFonts w:cs="Arial" w:ascii="Verdana" w:hAnsi="Verdana"/>
          <w:sz w:val="20"/>
          <w:szCs w:val="20"/>
        </w:rPr>
        <w:t>a) Serão dirigidos à Comissão Especial, devidamente fundamentados e, se for o caso, acompanhados de documentação pertinente;</w:t>
      </w:r>
    </w:p>
    <w:p>
      <w:pPr>
        <w:pStyle w:val="Textoprformatado"/>
        <w:spacing w:lineRule="auto" w:line="240"/>
        <w:jc w:val="both"/>
        <w:rPr/>
      </w:pPr>
      <w:r>
        <w:rPr>
          <w:rStyle w:val="Cdigo-fonte"/>
          <w:rFonts w:cs="Arial" w:ascii="Verdana" w:hAnsi="Verdana"/>
          <w:sz w:val="20"/>
          <w:szCs w:val="20"/>
        </w:rPr>
        <w:t>b) Deverão estar assinados por representante legal do CREDENCIANDO, sendo que no caso de procurador deverá ser anexado o instrumento procuratório (se ausente nos autos);</w:t>
      </w:r>
    </w:p>
    <w:p>
      <w:pPr>
        <w:pStyle w:val="Textoprformatado"/>
        <w:spacing w:lineRule="auto" w:line="240"/>
        <w:jc w:val="both"/>
        <w:rPr/>
      </w:pPr>
      <w:r>
        <w:rPr>
          <w:rStyle w:val="Cdigo-fonte"/>
          <w:rFonts w:cs="Arial" w:ascii="Verdana" w:hAnsi="Verdana"/>
          <w:sz w:val="20"/>
          <w:szCs w:val="20"/>
        </w:rPr>
        <w:t>c) Os recursos deverão ser protocolados no Protocolo Geral do Município ou entregues diretamente à Comissão Especial, e fora do prazo legal, não serão conhecidos;</w:t>
      </w:r>
    </w:p>
    <w:p>
      <w:pPr>
        <w:pStyle w:val="Textoprformatado"/>
        <w:spacing w:lineRule="auto" w:line="240"/>
        <w:jc w:val="both"/>
        <w:rPr>
          <w:rFonts w:ascii="Verdana" w:hAnsi="Verdana" w:cs="Arial"/>
          <w:sz w:val="20"/>
          <w:szCs w:val="20"/>
        </w:rPr>
      </w:pPr>
      <w:r>
        <w:rPr>
          <w:rFonts w:cs="Arial" w:ascii="Verdana" w:hAnsi="Verdana"/>
          <w:sz w:val="20"/>
          <w:szCs w:val="20"/>
        </w:rPr>
      </w:r>
    </w:p>
    <w:p>
      <w:pPr>
        <w:pStyle w:val="Textoprformatado"/>
        <w:spacing w:lineRule="auto" w:line="240"/>
        <w:jc w:val="both"/>
        <w:rPr/>
      </w:pPr>
      <w:r>
        <w:rPr>
          <w:rStyle w:val="Cdigo-fonte"/>
          <w:rFonts w:cs="Arial" w:ascii="Verdana" w:hAnsi="Verdana"/>
          <w:b/>
          <w:bCs/>
          <w:sz w:val="20"/>
          <w:szCs w:val="20"/>
        </w:rPr>
        <w:t>10. DAS RESPONSABILIDADES DA CONTRATANTE</w:t>
      </w:r>
    </w:p>
    <w:p>
      <w:pPr>
        <w:pStyle w:val="Textoprformatado"/>
        <w:spacing w:lineRule="auto" w:line="240"/>
        <w:jc w:val="both"/>
        <w:rPr/>
      </w:pPr>
      <w:r>
        <w:rPr>
          <w:rStyle w:val="Cdigo-fonte"/>
          <w:rFonts w:cs="Arial" w:ascii="Verdana" w:hAnsi="Verdana"/>
          <w:sz w:val="20"/>
          <w:szCs w:val="20"/>
        </w:rPr>
        <w:t>10.1. Assegurar o acesso do Leiloeiro aos locais onde se encontrem os bens a serem leiloados, observando as normas vigentes.</w:t>
      </w:r>
    </w:p>
    <w:p>
      <w:pPr>
        <w:pStyle w:val="Textoprformatado"/>
        <w:spacing w:lineRule="auto" w:line="240"/>
        <w:jc w:val="both"/>
        <w:rPr/>
      </w:pPr>
      <w:r>
        <w:rPr>
          <w:rStyle w:val="Cdigo-fonte"/>
          <w:rFonts w:cs="Arial" w:ascii="Verdana" w:hAnsi="Verdana"/>
          <w:sz w:val="20"/>
          <w:szCs w:val="20"/>
        </w:rPr>
        <w:t>10.2. Prestar as informações necessárias e disponíveis, quando demandado.</w:t>
      </w:r>
    </w:p>
    <w:p>
      <w:pPr>
        <w:pStyle w:val="Textoprformatado"/>
        <w:spacing w:lineRule="auto" w:line="240"/>
        <w:jc w:val="both"/>
        <w:rPr/>
      </w:pPr>
      <w:r>
        <w:rPr>
          <w:rStyle w:val="Cdigo-fonte"/>
          <w:rFonts w:cs="Arial" w:ascii="Verdana" w:hAnsi="Verdana"/>
          <w:sz w:val="20"/>
          <w:szCs w:val="20"/>
        </w:rPr>
        <w:t>10.3. Acompanhar e fiscalizar o contrato da prestação do serviço, aplicando penalidades quando cabíveis.</w:t>
      </w:r>
    </w:p>
    <w:p>
      <w:pPr>
        <w:pStyle w:val="Textoprformatado"/>
        <w:spacing w:lineRule="auto" w:line="240"/>
        <w:jc w:val="both"/>
        <w:rPr/>
      </w:pPr>
      <w:r>
        <w:rPr>
          <w:rStyle w:val="Cdigo-fonte"/>
          <w:rFonts w:cs="Arial" w:ascii="Verdana" w:hAnsi="Verdana"/>
          <w:sz w:val="20"/>
          <w:szCs w:val="20"/>
        </w:rPr>
        <w:t>10.4. Aprovar minuta de Edital de Leilão apresentada pelo Leiloeiro Oficial contratado quanto à formatação, sem transferir para si a responsabilidade pela correção e precisão das informações prestadas pelo CONTRATADO.</w:t>
      </w:r>
    </w:p>
    <w:p>
      <w:pPr>
        <w:pStyle w:val="Textoprformatado"/>
        <w:spacing w:lineRule="auto" w:line="240"/>
        <w:jc w:val="both"/>
        <w:rPr/>
      </w:pPr>
      <w:r>
        <w:rPr>
          <w:rStyle w:val="Cdigo-fonte"/>
          <w:rFonts w:cs="Arial" w:ascii="Verdana" w:hAnsi="Verdana"/>
          <w:sz w:val="20"/>
          <w:szCs w:val="20"/>
        </w:rPr>
        <w:t>10.5. Exigir o cumprimento do serviço em conformidade às cláusulas do contrato.</w:t>
      </w:r>
    </w:p>
    <w:p>
      <w:pPr>
        <w:pStyle w:val="Textoprformatado"/>
        <w:spacing w:lineRule="auto" w:line="240"/>
        <w:jc w:val="both"/>
        <w:rPr/>
      </w:pPr>
      <w:r>
        <w:rPr>
          <w:rStyle w:val="Cdigo-fonte"/>
          <w:rFonts w:cs="Arial" w:ascii="Verdana" w:hAnsi="Verdana"/>
          <w:sz w:val="20"/>
          <w:szCs w:val="20"/>
        </w:rPr>
        <w:t>10.6. Zelar pela qualidade do serviço, apurando eventuais reclamações recebidas, sem prejuízo das responsabilidades do CONTRATADO;</w:t>
      </w:r>
    </w:p>
    <w:p>
      <w:pPr>
        <w:pStyle w:val="Textoprformatado"/>
        <w:spacing w:lineRule="auto" w:line="240"/>
        <w:jc w:val="both"/>
        <w:rPr/>
      </w:pPr>
      <w:r>
        <w:rPr>
          <w:rStyle w:val="Cdigo-fonte"/>
          <w:rFonts w:cs="Arial" w:ascii="Verdana" w:hAnsi="Verdana"/>
          <w:sz w:val="20"/>
          <w:szCs w:val="20"/>
        </w:rPr>
        <w:t>10.7. Intervir na prestação do serviço, retomá-lo ou extinguir o contrato, se for o caso, conforme legislação vigente e condições contratuais.</w:t>
      </w:r>
    </w:p>
    <w:p>
      <w:pPr>
        <w:pStyle w:val="Textoprformatado"/>
        <w:spacing w:lineRule="auto" w:line="240"/>
        <w:jc w:val="both"/>
        <w:rPr/>
      </w:pPr>
      <w:r>
        <w:rPr>
          <w:rStyle w:val="Cdigo-fonte"/>
          <w:rFonts w:cs="Arial" w:ascii="Verdana" w:hAnsi="Verdana"/>
          <w:sz w:val="20"/>
          <w:szCs w:val="20"/>
        </w:rPr>
        <w:t>10.8. Notificar o Leiloeiro Oficial em caso de irregularidades na execução do serviço prestado, fixando prazo para correção pontual, sem prejuízo das responsabilidades contratuais.</w:t>
      </w:r>
    </w:p>
    <w:p>
      <w:pPr>
        <w:pStyle w:val="Textoprformatado"/>
        <w:spacing w:lineRule="auto" w:line="240"/>
        <w:jc w:val="both"/>
        <w:rPr>
          <w:rFonts w:ascii="Verdana" w:hAnsi="Verdana" w:cs="Arial"/>
          <w:sz w:val="20"/>
          <w:szCs w:val="20"/>
        </w:rPr>
      </w:pPr>
      <w:r>
        <w:rPr>
          <w:rFonts w:cs="Arial" w:ascii="Verdana" w:hAnsi="Verdana"/>
          <w:sz w:val="20"/>
          <w:szCs w:val="20"/>
        </w:rPr>
      </w:r>
    </w:p>
    <w:p>
      <w:pPr>
        <w:pStyle w:val="Textoprformatado"/>
        <w:spacing w:lineRule="auto" w:line="240"/>
        <w:jc w:val="both"/>
        <w:rPr/>
      </w:pPr>
      <w:r>
        <w:rPr>
          <w:rStyle w:val="Cdigo-fonte"/>
          <w:rFonts w:cs="Arial" w:ascii="Verdana" w:hAnsi="Verdana"/>
          <w:b/>
          <w:bCs/>
          <w:sz w:val="20"/>
          <w:szCs w:val="20"/>
        </w:rPr>
        <w:t>11. DAS SANÇÕES ADMINISTRATIVAS</w:t>
      </w:r>
    </w:p>
    <w:p>
      <w:pPr>
        <w:pStyle w:val="Textoprformatado"/>
        <w:spacing w:lineRule="auto" w:line="240"/>
        <w:jc w:val="both"/>
        <w:rPr/>
      </w:pPr>
      <w:r>
        <w:rPr>
          <w:rStyle w:val="Cdigo-fonte"/>
          <w:rFonts w:cs="Arial" w:ascii="Verdana" w:hAnsi="Verdana"/>
          <w:sz w:val="20"/>
          <w:szCs w:val="20"/>
        </w:rPr>
        <w:t>11.1. O atraso injustificado na execução do contrato sujeitará o licitante contratado à aplicação de multa de mora, nas seguintes condições:</w:t>
      </w:r>
    </w:p>
    <w:p>
      <w:pPr>
        <w:pStyle w:val="Textoprformatado"/>
        <w:spacing w:lineRule="auto" w:line="240"/>
        <w:jc w:val="both"/>
        <w:rPr/>
      </w:pPr>
      <w:r>
        <w:rPr>
          <w:rStyle w:val="Cdigo-fonte"/>
          <w:rFonts w:cs="Arial" w:ascii="Verdana" w:hAnsi="Verdana"/>
          <w:sz w:val="20"/>
          <w:szCs w:val="20"/>
        </w:rPr>
        <w:t>11.1.1 Fixa-se a multa de mora em 0,3 % (três décimos por cento) por dia de atraso, a incidir sobre o valor total recebido pelo contratado, referente às comissões recebidas pelas arrematações;</w:t>
      </w:r>
    </w:p>
    <w:p>
      <w:pPr>
        <w:pStyle w:val="Textoprformatado"/>
        <w:spacing w:lineRule="auto" w:line="240"/>
        <w:jc w:val="both"/>
        <w:rPr/>
      </w:pPr>
      <w:r>
        <w:rPr>
          <w:rStyle w:val="Cdigo-fonte"/>
          <w:rFonts w:cs="Arial" w:ascii="Verdana" w:hAnsi="Verdana"/>
          <w:sz w:val="20"/>
          <w:szCs w:val="20"/>
        </w:rPr>
        <w:t>11.1.2 Os dias de atraso serão contabilizados em conformidade com as etapas de execução do contrato;</w:t>
      </w:r>
    </w:p>
    <w:p>
      <w:pPr>
        <w:pStyle w:val="Textoprformatado"/>
        <w:spacing w:lineRule="auto" w:line="240"/>
        <w:jc w:val="both"/>
        <w:rPr/>
      </w:pPr>
      <w:r>
        <w:rPr>
          <w:rStyle w:val="Cdigo-fonte"/>
          <w:rFonts w:cs="Arial" w:ascii="Verdana" w:hAnsi="Verdana"/>
          <w:sz w:val="20"/>
          <w:szCs w:val="20"/>
        </w:rPr>
        <w:t>11.1.3 A aplicação da multa de mora não impede que a Administração rescinda unilateralmente o contrato e aplique as outras sanções previstas no item 11.2 deste edital e na Lei nº 14.133/2021.</w:t>
      </w:r>
    </w:p>
    <w:p>
      <w:pPr>
        <w:pStyle w:val="Textoprformatado"/>
        <w:spacing w:lineRule="auto" w:line="240"/>
        <w:jc w:val="both"/>
        <w:rPr/>
      </w:pPr>
      <w:r>
        <w:rPr>
          <w:rStyle w:val="Cdigo-fonte"/>
          <w:rFonts w:cs="Arial" w:ascii="Verdana" w:hAnsi="Verdana"/>
          <w:sz w:val="20"/>
          <w:szCs w:val="20"/>
        </w:rPr>
        <w:t>11.2. A inexecução total ou parcial do contrato ensejará a aplicação das seguintes sanções ao licitante contratado:</w:t>
      </w:r>
    </w:p>
    <w:p>
      <w:pPr>
        <w:pStyle w:val="Textoprformatado"/>
        <w:spacing w:lineRule="auto" w:line="240"/>
        <w:jc w:val="both"/>
        <w:rPr/>
      </w:pPr>
      <w:r>
        <w:rPr>
          <w:rStyle w:val="Cdigo-fonte"/>
          <w:rFonts w:cs="Arial" w:ascii="Verdana" w:hAnsi="Verdana"/>
          <w:sz w:val="20"/>
          <w:szCs w:val="20"/>
        </w:rPr>
        <w:t xml:space="preserve">a) Advertência; </w:t>
      </w:r>
    </w:p>
    <w:p>
      <w:pPr>
        <w:pStyle w:val="Textoprformatado"/>
        <w:spacing w:lineRule="auto" w:line="240"/>
        <w:jc w:val="both"/>
        <w:rPr/>
      </w:pPr>
      <w:r>
        <w:rPr>
          <w:rStyle w:val="Cdigo-fonte"/>
          <w:rFonts w:cs="Arial" w:ascii="Verdana" w:hAnsi="Verdana"/>
          <w:sz w:val="20"/>
          <w:szCs w:val="20"/>
        </w:rPr>
        <w:t xml:space="preserve">b) Multa compensatória por perdas e danos, no montante de até 10% (dez por cento) sobre o valor total recebido pelo contratado, referente às comissões recebidas pelas arrematações; </w:t>
      </w:r>
    </w:p>
    <w:p>
      <w:pPr>
        <w:pStyle w:val="Textoprformatado"/>
        <w:spacing w:lineRule="auto" w:line="240"/>
        <w:jc w:val="both"/>
        <w:rPr/>
      </w:pPr>
      <w:r>
        <w:rPr>
          <w:rStyle w:val="Cdigo-fonte"/>
          <w:rFonts w:cs="Arial" w:ascii="Verdana" w:hAnsi="Verdana"/>
          <w:sz w:val="20"/>
          <w:szCs w:val="20"/>
        </w:rPr>
        <w:t>c) Suspensão temporária de participação em licitação e impedimento de contratar com a Administração Pública, por prazo não superior a 02 (dois) anos, nos termos do art. 156, § 5º, da Lei nº 14.133/2021;</w:t>
      </w:r>
    </w:p>
    <w:p>
      <w:pPr>
        <w:pStyle w:val="Textoprformatado"/>
        <w:spacing w:lineRule="auto" w:line="240"/>
        <w:jc w:val="both"/>
        <w:rPr/>
      </w:pPr>
      <w:r>
        <w:rPr>
          <w:rStyle w:val="Cdigo-fonte"/>
          <w:rFonts w:cs="Arial" w:ascii="Verdana" w:hAnsi="Verdana"/>
          <w:sz w:val="20"/>
          <w:szCs w:val="20"/>
        </w:rPr>
        <w:t>d) Impedimento para licitar e contratar com a Administração Pública Municipal, Direta ou Indireta, pelo prazo de até 05 (cinco) anos, sem prejuízo das multas previstas em Edital e no contrato e das demais cominações legais, especificamente nas hipóteses em que o licitante, convocado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modo inidôneo ou cometer fraude fiscal;</w:t>
      </w:r>
    </w:p>
    <w:p>
      <w:pPr>
        <w:pStyle w:val="Textoprformatado"/>
        <w:spacing w:lineRule="auto" w:line="240"/>
        <w:jc w:val="both"/>
        <w:rPr/>
      </w:pPr>
      <w:r>
        <w:rPr>
          <w:rStyle w:val="Cdigo-fonte"/>
          <w:rFonts w:cs="Arial" w:ascii="Verdana" w:hAnsi="Verdana"/>
          <w:sz w:val="20"/>
          <w:szCs w:val="20"/>
        </w:rPr>
        <w:t xml:space="preserve">e) Declaração de inidoneidade para licitar ou contratar com a Administração Pública, em toda a Federação, enquanto perdurarem os motivos determinantes da punição ou até que seja promovida a reabilitação perante a própria autoridade que aplicou a penalidade, que será concedida sempre que o contratado ressarcir a Administração pelos prejuízos resultantes e após decorrido o prazo da sanção aplicada com base na alínea “c”. </w:t>
      </w:r>
    </w:p>
    <w:p>
      <w:pPr>
        <w:pStyle w:val="Textoprformatado"/>
        <w:spacing w:lineRule="auto" w:line="240"/>
        <w:jc w:val="both"/>
        <w:rPr>
          <w:rFonts w:ascii="Verdana" w:hAnsi="Verdana" w:cs="Arial"/>
          <w:sz w:val="20"/>
          <w:szCs w:val="20"/>
        </w:rPr>
      </w:pPr>
      <w:r>
        <w:rPr>
          <w:rFonts w:cs="Arial" w:ascii="Verdana" w:hAnsi="Verdana"/>
          <w:sz w:val="20"/>
          <w:szCs w:val="20"/>
        </w:rPr>
      </w:r>
    </w:p>
    <w:p>
      <w:pPr>
        <w:pStyle w:val="Textoprformatado"/>
        <w:spacing w:lineRule="auto" w:line="240"/>
        <w:jc w:val="both"/>
        <w:rPr/>
      </w:pPr>
      <w:r>
        <w:rPr>
          <w:rStyle w:val="Cdigo-fonte"/>
          <w:rFonts w:cs="Arial" w:ascii="Verdana" w:hAnsi="Verdana"/>
          <w:sz w:val="20"/>
          <w:szCs w:val="20"/>
        </w:rPr>
        <w:t xml:space="preserve">§1º. As sanções previstas nas alíneas “a”, “c”, “d” e “e” deste item, não são cumulativas entre si, mas poderão ser aplicadas juntamente com a multa compensatória por perdas e danos (alínea “b”). </w:t>
      </w:r>
    </w:p>
    <w:p>
      <w:pPr>
        <w:pStyle w:val="Textoprformatado"/>
        <w:spacing w:lineRule="auto" w:line="240"/>
        <w:jc w:val="both"/>
        <w:rPr/>
      </w:pPr>
      <w:r>
        <w:rPr>
          <w:rStyle w:val="Cdigo-fonte"/>
          <w:rFonts w:cs="Arial" w:ascii="Verdana" w:hAnsi="Verdana"/>
          <w:sz w:val="20"/>
          <w:szCs w:val="20"/>
        </w:rPr>
        <w:t xml:space="preserve">§2º. Quando imposta uma das sanções previstas nas alíneas “c”, “d” e “e”, a autoridade competente submeterá sua decisão ao chefe do poder executivo, a fim de que, se confirmada, tenha efeito perante a Administração Pública Municipal. </w:t>
      </w:r>
    </w:p>
    <w:p>
      <w:pPr>
        <w:pStyle w:val="Textoprformatado"/>
        <w:spacing w:lineRule="auto" w:line="240"/>
        <w:jc w:val="both"/>
        <w:rPr/>
      </w:pPr>
      <w:r>
        <w:rPr>
          <w:rStyle w:val="Cdigo-fonte"/>
          <w:rFonts w:cs="Arial" w:ascii="Verdana" w:hAnsi="Verdana"/>
          <w:sz w:val="20"/>
          <w:szCs w:val="20"/>
        </w:rPr>
        <w:t xml:space="preserve">§3º. Caso as sanções referidas no parágrafo anterior não sejam confirmadas pelo Chefe do Poder Executivo, competirá ao órgão promotor do certame, por intermédio de sua autoridade competente, decidir sobre a aplicação ou não das demais modalidades sancionatórias. </w:t>
      </w:r>
    </w:p>
    <w:p>
      <w:pPr>
        <w:pStyle w:val="Textoprformatado"/>
        <w:spacing w:lineRule="auto" w:line="240"/>
        <w:jc w:val="both"/>
        <w:rPr>
          <w:rFonts w:ascii="Verdana" w:hAnsi="Verdana" w:cs="Arial"/>
          <w:sz w:val="20"/>
          <w:szCs w:val="20"/>
        </w:rPr>
      </w:pPr>
      <w:r>
        <w:rPr>
          <w:rFonts w:cs="Arial" w:ascii="Verdana" w:hAnsi="Verdana"/>
          <w:sz w:val="20"/>
          <w:szCs w:val="20"/>
        </w:rPr>
      </w:r>
    </w:p>
    <w:p>
      <w:pPr>
        <w:pStyle w:val="Textoprformatado"/>
        <w:spacing w:lineRule="auto" w:line="240"/>
        <w:jc w:val="both"/>
        <w:rPr/>
      </w:pPr>
      <w:r>
        <w:rPr>
          <w:rStyle w:val="Cdigo-fonte"/>
          <w:rFonts w:cs="Arial" w:ascii="Verdana" w:hAnsi="Verdana"/>
          <w:sz w:val="20"/>
          <w:szCs w:val="20"/>
        </w:rPr>
        <w:t>11.3. As sanções administrativas somente serão aplicadas mediante regular processo administrativo, assegurada a ampla defesa e o contraditório, observando-se as seguintes regras:</w:t>
      </w:r>
    </w:p>
    <w:p>
      <w:pPr>
        <w:pStyle w:val="Textoprformatado"/>
        <w:spacing w:lineRule="auto" w:line="240"/>
        <w:jc w:val="both"/>
        <w:rPr/>
      </w:pPr>
      <w:r>
        <w:rPr>
          <w:rStyle w:val="Cdigo-fonte"/>
          <w:rFonts w:cs="Arial" w:ascii="Verdana" w:hAnsi="Verdana"/>
          <w:sz w:val="20"/>
          <w:szCs w:val="20"/>
        </w:rPr>
        <w:t xml:space="preserve">a) Antes da aplicação de qualquer sanção administrativa, o órgão promotor do certame deverá notificar o licitante contratado, facultando-lhe a apresentação de defesa prévia; </w:t>
      </w:r>
    </w:p>
    <w:p>
      <w:pPr>
        <w:pStyle w:val="Textoprformatado"/>
        <w:spacing w:lineRule="auto" w:line="240"/>
        <w:jc w:val="both"/>
        <w:rPr/>
      </w:pPr>
      <w:r>
        <w:rPr>
          <w:rStyle w:val="Cdigo-fonte"/>
          <w:rFonts w:cs="Arial" w:ascii="Verdana" w:hAnsi="Verdana"/>
          <w:sz w:val="20"/>
          <w:szCs w:val="20"/>
        </w:rPr>
        <w:t xml:space="preserve">b) A notificação deverá ocorrer pessoalmente ou por correspondência com aviso de recebimento, indicando, no mínimo: a conduta do licitante contratado reputada como infratora, a motivação para aplicação da penalidade, a sanção que se pretende aplicar, o prazo e o local de entrega das razões de defesa; </w:t>
      </w:r>
    </w:p>
    <w:p>
      <w:pPr>
        <w:pStyle w:val="Textoprformatado"/>
        <w:spacing w:lineRule="auto" w:line="240"/>
        <w:jc w:val="both"/>
        <w:rPr/>
      </w:pPr>
      <w:r>
        <w:rPr>
          <w:rStyle w:val="Cdigo-fonte"/>
          <w:rFonts w:cs="Arial" w:ascii="Verdana" w:hAnsi="Verdana"/>
          <w:sz w:val="20"/>
          <w:szCs w:val="20"/>
        </w:rPr>
        <w:t>c) O prazo para apresentação de defesa prévia será de 05 (cinco) dias úteis a contar da intimação, exceto na hipótese de declaração de inidoneidade, em que o prazo será de 10 (dez) dias consecutivos, devendo, em ambos os casos, ser observada a regra do art. 165 da Lei 14.133/2021;</w:t>
      </w:r>
    </w:p>
    <w:p>
      <w:pPr>
        <w:pStyle w:val="Textoprformatado"/>
        <w:spacing w:lineRule="auto" w:line="240"/>
        <w:jc w:val="both"/>
        <w:rPr/>
      </w:pPr>
      <w:r>
        <w:rPr>
          <w:rStyle w:val="Cdigo-fonte"/>
          <w:rFonts w:cs="Arial" w:ascii="Verdana" w:hAnsi="Verdana"/>
          <w:sz w:val="20"/>
          <w:szCs w:val="20"/>
        </w:rPr>
        <w:t>d) O licitante contratado comunicará ao órgão promotor do certame as mudanças de endereço ocorridas no curso do credenciamento e da vigência do contrato, considerando-se eficazes as notificações enviadas ao local anteriormente indicado, na ausência da comunicação;</w:t>
      </w:r>
    </w:p>
    <w:p>
      <w:pPr>
        <w:pStyle w:val="Textoprformatado"/>
        <w:spacing w:lineRule="auto" w:line="240"/>
        <w:jc w:val="both"/>
        <w:rPr/>
      </w:pPr>
      <w:r>
        <w:rPr>
          <w:rStyle w:val="Cdigo-fonte"/>
          <w:rFonts w:cs="Arial" w:ascii="Verdana" w:hAnsi="Verdana"/>
          <w:sz w:val="20"/>
          <w:szCs w:val="20"/>
        </w:rPr>
        <w:t xml:space="preserve">e) Ofertada a defesa prévia ou expirado o prazo sem que ocorra a sua apresentação, o órgão promotor do certame proferirá decisão fundamentada e adotará as medidas legais cabíveis, resguardado o direito de recurso do credenciado que deverá ser exercido nos termos da Lei nº 14.133/2021; </w:t>
      </w:r>
    </w:p>
    <w:p>
      <w:pPr>
        <w:pStyle w:val="Textoprformatado"/>
        <w:spacing w:lineRule="auto" w:line="240"/>
        <w:jc w:val="both"/>
        <w:rPr/>
      </w:pPr>
      <w:r>
        <w:rPr>
          <w:rStyle w:val="Cdigo-fonte"/>
          <w:rFonts w:cs="Arial" w:ascii="Verdana" w:hAnsi="Verdana"/>
          <w:sz w:val="20"/>
          <w:szCs w:val="20"/>
        </w:rPr>
        <w:t xml:space="preserve">f) O recurso administrativo a que se refere a alínea anterior será submetido à análise da Procuradoria Geral do Município. </w:t>
      </w:r>
    </w:p>
    <w:p>
      <w:pPr>
        <w:pStyle w:val="Textoprformatado"/>
        <w:spacing w:lineRule="auto" w:line="240"/>
        <w:jc w:val="both"/>
        <w:rPr/>
      </w:pPr>
      <w:r>
        <w:rPr>
          <w:rStyle w:val="Cdigo-fonte"/>
          <w:rFonts w:cs="Arial" w:ascii="Verdana" w:hAnsi="Verdana"/>
          <w:sz w:val="20"/>
          <w:szCs w:val="20"/>
        </w:rPr>
        <w:t xml:space="preserve">11.4. Os montantes relativos às multas moratória e compensatória aplicadas pela Administração poderão ser cobrados judicialmente. </w:t>
      </w:r>
    </w:p>
    <w:p>
      <w:pPr>
        <w:pStyle w:val="Textoprformatado"/>
        <w:spacing w:lineRule="auto" w:line="240"/>
        <w:jc w:val="both"/>
        <w:rPr/>
      </w:pPr>
      <w:r>
        <w:rPr>
          <w:rStyle w:val="Cdigo-fonte"/>
          <w:rFonts w:cs="Arial" w:ascii="Verdana" w:hAnsi="Verdana"/>
          <w:sz w:val="20"/>
          <w:szCs w:val="20"/>
        </w:rPr>
        <w:t>11.5. Sem prejuízo da aplicação das sanções acima descritas, a prática de quaisquer atos lesivos à administração pública na licitação ou na execução do contrato, nos termos da Lei 12.846/2013, será objeto de imediata apuração observando-se o devido processo legal.</w:t>
      </w:r>
    </w:p>
    <w:p>
      <w:pPr>
        <w:pStyle w:val="Textoprformatado"/>
        <w:spacing w:lineRule="auto" w:line="240"/>
        <w:jc w:val="both"/>
        <w:rPr/>
      </w:pPr>
      <w:r>
        <w:rPr>
          <w:rStyle w:val="Cdigo-fonte"/>
          <w:rFonts w:cs="Arial" w:ascii="Verdana" w:hAnsi="Verdana"/>
          <w:sz w:val="20"/>
          <w:szCs w:val="20"/>
        </w:rPr>
        <w:t>11.6. A aplicação das sanções previstas não exclui a responsabilidade da CONTRATADA por eventuais perdas e danos causados à Administração e à sociedade, na qualidade de usuária do sistema.</w:t>
      </w:r>
    </w:p>
    <w:p>
      <w:pPr>
        <w:pStyle w:val="Textoprformatado"/>
        <w:spacing w:lineRule="auto" w:line="240"/>
        <w:jc w:val="both"/>
        <w:rPr/>
      </w:pPr>
      <w:r>
        <w:rPr>
          <w:rStyle w:val="Cdigo-fonte"/>
          <w:rFonts w:cs="Arial" w:ascii="Verdana" w:hAnsi="Verdana"/>
          <w:sz w:val="20"/>
          <w:szCs w:val="20"/>
        </w:rPr>
        <w:t>11.7. No caso aplicações reincidentes de sanções ou ainda sistemáticos descumprimentos das etapas do leilão, sem a adoção tempestiva das medidas saneadoras solicitadas pela CONTRATANTE, a critério da CONTRATANTE, podendo configurar a inexecução parcial do contrato, sem prejuízo das demais sanções previstas neste contrato e na Lei nº 14.133/2021.</w:t>
      </w:r>
    </w:p>
    <w:p>
      <w:pPr>
        <w:pStyle w:val="Textoprformatado"/>
        <w:spacing w:lineRule="auto" w:line="240"/>
        <w:jc w:val="both"/>
        <w:rPr/>
      </w:pPr>
      <w:r>
        <w:rPr>
          <w:rStyle w:val="Cdigo-fonte"/>
          <w:rFonts w:cs="Arial" w:ascii="Verdana" w:hAnsi="Verdana"/>
          <w:sz w:val="20"/>
          <w:szCs w:val="20"/>
        </w:rPr>
        <w:t>11.8. As reincidentes sanções ou ainda sistemáticos descumprimentos das etapas do leilão, poderá ocasionar o descredenciamento do leiloeiro.</w:t>
      </w:r>
    </w:p>
    <w:p>
      <w:pPr>
        <w:pStyle w:val="Textoprformatado"/>
        <w:spacing w:lineRule="auto" w:line="240"/>
        <w:jc w:val="both"/>
        <w:rPr/>
      </w:pPr>
      <w:r>
        <w:rPr>
          <w:rStyle w:val="Cdigo-fonte"/>
          <w:rFonts w:cs="Arial" w:ascii="Verdana" w:hAnsi="Verdana"/>
          <w:sz w:val="20"/>
          <w:szCs w:val="20"/>
        </w:rPr>
        <w:t>11.9. O contratado, após notificação pelo gestor do contrato, terá 05 (cinco) dias para as devidas correções, após esse prazo será aplicado as penalidades previstas na tabela abaixo.</w:t>
      </w:r>
    </w:p>
    <w:p>
      <w:pPr>
        <w:pStyle w:val="Textoprformatado"/>
        <w:spacing w:lineRule="auto" w:line="240"/>
        <w:jc w:val="both"/>
        <w:rPr/>
      </w:pPr>
      <w:r>
        <w:rPr>
          <w:rStyle w:val="Cdigo-fonte"/>
          <w:rFonts w:cs="Arial" w:ascii="Verdana" w:hAnsi="Verdana"/>
          <w:sz w:val="20"/>
          <w:szCs w:val="20"/>
        </w:rPr>
        <w:t>11.10. A tabela abaixo descreve as multas de mora e compensatórias aplicáveis às sanções previstas:</w:t>
      </w:r>
    </w:p>
    <w:p>
      <w:pPr>
        <w:pStyle w:val="Textoprformatado"/>
        <w:spacing w:lineRule="auto" w:line="240"/>
        <w:jc w:val="both"/>
        <w:rPr>
          <w:rFonts w:ascii="Verdana" w:hAnsi="Verdana" w:cs="Arial"/>
          <w:sz w:val="20"/>
          <w:szCs w:val="20"/>
        </w:rPr>
      </w:pPr>
      <w:r>
        <w:rPr>
          <w:rFonts w:cs="Arial" w:ascii="Verdana" w:hAnsi="Verdana"/>
          <w:sz w:val="20"/>
          <w:szCs w:val="20"/>
        </w:rPr>
      </w:r>
    </w:p>
    <w:p>
      <w:pPr>
        <w:pStyle w:val="Textoprformatado"/>
        <w:spacing w:lineRule="auto" w:line="240"/>
        <w:jc w:val="both"/>
        <w:rPr/>
      </w:pPr>
      <w:r>
        <w:rPr>
          <w:rStyle w:val="Cdigo-fonte"/>
          <w:rFonts w:cs="Arial" w:ascii="Verdana" w:hAnsi="Verdana"/>
          <w:sz w:val="20"/>
          <w:szCs w:val="20"/>
        </w:rPr>
        <w:t>01 - Multa compensatória de 5% (cinco por cento) sobre o valor total recebido pelo contratado, sem prejuízo e sanções já aplicadas, e das previstas no contrato e na Lei nº 14.133/2021.</w:t>
      </w:r>
    </w:p>
    <w:p>
      <w:pPr>
        <w:pStyle w:val="Textoprformatado"/>
        <w:spacing w:lineRule="auto" w:line="240"/>
        <w:jc w:val="both"/>
        <w:rPr/>
      </w:pPr>
      <w:r>
        <w:rPr>
          <w:rStyle w:val="Cdigo-fonte"/>
          <w:rFonts w:cs="Arial" w:ascii="Verdana" w:hAnsi="Verdana"/>
          <w:sz w:val="20"/>
          <w:szCs w:val="20"/>
        </w:rPr>
        <w:t>02 - Inexecução total do contrato</w:t>
      </w:r>
    </w:p>
    <w:p>
      <w:pPr>
        <w:pStyle w:val="Textoprformatado"/>
        <w:spacing w:lineRule="auto" w:line="240"/>
        <w:jc w:val="both"/>
        <w:rPr/>
      </w:pPr>
      <w:r>
        <w:rPr>
          <w:rStyle w:val="Cdigo-fonte"/>
          <w:rFonts w:cs="Arial" w:ascii="Verdana" w:hAnsi="Verdana"/>
          <w:sz w:val="20"/>
          <w:szCs w:val="20"/>
        </w:rPr>
        <w:t>Multa compensatória de 5% (cinco por cento) sobre o valor total recebido pelo contratado, sem prejuízo e sanções já aplicadas, e das previstas no contrato e na Lei nº 14.133/2021.</w:t>
      </w:r>
    </w:p>
    <w:p>
      <w:pPr>
        <w:pStyle w:val="Textoprformatado"/>
        <w:spacing w:lineRule="auto" w:line="240"/>
        <w:jc w:val="both"/>
        <w:rPr/>
      </w:pPr>
      <w:r>
        <w:rPr>
          <w:rStyle w:val="Cdigo-fonte"/>
          <w:rFonts w:cs="Arial" w:ascii="Verdana" w:hAnsi="Verdana"/>
          <w:sz w:val="20"/>
          <w:szCs w:val="20"/>
        </w:rPr>
        <w:t>03 - Lançar informações incorretas no site referente ao bem a ser leiloado (fotos, valores incorretos, quantidade mínima de imagens/fotos).</w:t>
      </w:r>
    </w:p>
    <w:p>
      <w:pPr>
        <w:pStyle w:val="Textoprformatado"/>
        <w:spacing w:lineRule="auto" w:line="240"/>
        <w:jc w:val="both"/>
        <w:rPr/>
      </w:pPr>
      <w:r>
        <w:rPr>
          <w:rStyle w:val="Cdigo-fonte"/>
          <w:rFonts w:cs="Arial" w:ascii="Verdana" w:hAnsi="Verdana"/>
          <w:sz w:val="20"/>
          <w:szCs w:val="20"/>
        </w:rPr>
        <w:t xml:space="preserve">Multa de mora em 0,3 % (três décimos por cento) por ocorrência, sobre o valor total recebido pelo contratado, até o limite de 3 (três) ocorrências para o mesmo lote. </w:t>
      </w:r>
    </w:p>
    <w:p>
      <w:pPr>
        <w:pStyle w:val="Textoprformatado"/>
        <w:spacing w:lineRule="auto" w:line="240"/>
        <w:jc w:val="both"/>
        <w:rPr/>
      </w:pPr>
      <w:r>
        <w:rPr>
          <w:rStyle w:val="Cdigo-fonte"/>
          <w:rFonts w:cs="Arial" w:ascii="Verdana" w:hAnsi="Verdana"/>
          <w:sz w:val="20"/>
          <w:szCs w:val="20"/>
        </w:rPr>
        <w:t>- Acima de 3 (três) ocorrências, para o mesmo lote, estará configurada a inexecução parcial do contrato.</w:t>
      </w:r>
    </w:p>
    <w:p>
      <w:pPr>
        <w:pStyle w:val="Textoprformatado"/>
        <w:spacing w:lineRule="auto" w:line="240"/>
        <w:jc w:val="both"/>
        <w:rPr/>
      </w:pPr>
      <w:r>
        <w:rPr>
          <w:rStyle w:val="Cdigo-fonte"/>
          <w:rFonts w:cs="Arial" w:ascii="Verdana" w:hAnsi="Verdana"/>
          <w:sz w:val="20"/>
          <w:szCs w:val="20"/>
        </w:rPr>
        <w:t>04 - Atraso injustificado na execução dos serviços.</w:t>
      </w:r>
    </w:p>
    <w:p>
      <w:pPr>
        <w:pStyle w:val="Textoprformatado"/>
        <w:spacing w:lineRule="auto" w:line="240"/>
        <w:jc w:val="both"/>
        <w:rPr/>
      </w:pPr>
      <w:r>
        <w:rPr>
          <w:rStyle w:val="Cdigo-fonte"/>
          <w:rFonts w:cs="Arial" w:ascii="Verdana" w:hAnsi="Verdana"/>
          <w:sz w:val="20"/>
          <w:szCs w:val="20"/>
        </w:rPr>
        <w:t xml:space="preserve">Multa de mora em 0,3 % (três décimos por cento) por dia de atraso e por ocorrência, a incidir sobre o valor total recebido pelo contratado, até o limite de 05 (cinco) dias corridos. </w:t>
      </w:r>
    </w:p>
    <w:p>
      <w:pPr>
        <w:pStyle w:val="Textoprformatado"/>
        <w:spacing w:lineRule="auto" w:line="240"/>
        <w:jc w:val="both"/>
        <w:rPr/>
      </w:pPr>
      <w:r>
        <w:rPr>
          <w:rStyle w:val="Cdigo-fonte"/>
          <w:rFonts w:cs="Arial" w:ascii="Verdana" w:hAnsi="Verdana"/>
          <w:sz w:val="20"/>
          <w:szCs w:val="20"/>
        </w:rPr>
        <w:t>- Se superior a 05 (cinco) dias corridos, estará configurada a inexecução parcial do contrato, sem prejuízo das demais sanções previstas.</w:t>
      </w:r>
    </w:p>
    <w:p>
      <w:pPr>
        <w:pStyle w:val="Textoprformatado"/>
        <w:spacing w:lineRule="auto" w:line="240"/>
        <w:jc w:val="both"/>
        <w:rPr/>
      </w:pPr>
      <w:r>
        <w:rPr>
          <w:rStyle w:val="Cdigo-fonte"/>
          <w:rFonts w:cs="Arial" w:ascii="Verdana" w:hAnsi="Verdana"/>
          <w:sz w:val="20"/>
          <w:szCs w:val="20"/>
        </w:rPr>
        <w:t xml:space="preserve">05 - Apresentar informações incorretas no folder, para cada erro. </w:t>
      </w:r>
    </w:p>
    <w:p>
      <w:pPr>
        <w:pStyle w:val="Textoprformatado"/>
        <w:spacing w:lineRule="auto" w:line="240"/>
        <w:jc w:val="both"/>
        <w:rPr/>
      </w:pPr>
      <w:r>
        <w:rPr>
          <w:rStyle w:val="Cdigo-fonte"/>
          <w:rFonts w:cs="Arial" w:ascii="Verdana" w:hAnsi="Verdana"/>
          <w:sz w:val="20"/>
          <w:szCs w:val="20"/>
        </w:rPr>
        <w:t>Multa de mora em 0,3 % (três décimos por cento) por ocorrência, a incidir sobre o valor total recebido pelo contratado, até o limite de 10 (dez) ocorrências.</w:t>
      </w:r>
    </w:p>
    <w:p>
      <w:pPr>
        <w:pStyle w:val="Textoprformatado"/>
        <w:spacing w:lineRule="auto" w:line="240"/>
        <w:jc w:val="both"/>
        <w:rPr/>
      </w:pPr>
      <w:r>
        <w:rPr>
          <w:rStyle w:val="Cdigo-fonte"/>
          <w:rFonts w:cs="Arial" w:ascii="Verdana" w:hAnsi="Verdana"/>
          <w:sz w:val="20"/>
          <w:szCs w:val="20"/>
        </w:rPr>
        <w:t>- Se superior a 10 (dez) ocorrências, estará configurada a inexecução parcial do contrato, sem prejuízo das demais sanções devidas.</w:t>
      </w:r>
    </w:p>
    <w:p>
      <w:pPr>
        <w:pStyle w:val="Textoprformatado"/>
        <w:spacing w:lineRule="auto" w:line="240"/>
        <w:jc w:val="both"/>
        <w:rPr/>
      </w:pPr>
      <w:r>
        <w:rPr>
          <w:rStyle w:val="Cdigo-fonte"/>
          <w:rFonts w:cs="Arial" w:ascii="Verdana" w:hAnsi="Verdana"/>
          <w:sz w:val="20"/>
          <w:szCs w:val="20"/>
        </w:rPr>
        <w:t xml:space="preserve">06 - Falta de documentação na prestação de contas e/ou preenchimento incorreto quanto as informações, por documento, exceto a documentação pendente devido a prazos e providências que independam do leiloeiro, respectivamente justificadas na própria prestação de contas. </w:t>
      </w:r>
    </w:p>
    <w:p>
      <w:pPr>
        <w:pStyle w:val="Textoprformatado"/>
        <w:spacing w:lineRule="auto" w:line="240"/>
        <w:jc w:val="both"/>
        <w:rPr/>
      </w:pPr>
      <w:r>
        <w:rPr>
          <w:rStyle w:val="Cdigo-fonte"/>
          <w:rFonts w:cs="Arial" w:ascii="Verdana" w:hAnsi="Verdana"/>
          <w:sz w:val="20"/>
          <w:szCs w:val="20"/>
        </w:rPr>
        <w:t xml:space="preserve">- Multa de mora em 0,3 % (três décimos por cento) por ocorrência, a incidir sobre o valor total recebido pelo contratado, até o limite de 10 (dez) ocorrências. </w:t>
      </w:r>
    </w:p>
    <w:p>
      <w:pPr>
        <w:pStyle w:val="Textoprformatado"/>
        <w:spacing w:lineRule="auto" w:line="240"/>
        <w:jc w:val="both"/>
        <w:rPr/>
      </w:pPr>
      <w:r>
        <w:rPr>
          <w:rStyle w:val="Cdigo-fonte"/>
          <w:rFonts w:cs="Arial" w:ascii="Verdana" w:hAnsi="Verdana"/>
          <w:sz w:val="20"/>
          <w:szCs w:val="20"/>
        </w:rPr>
        <w:t>- Se superior a 10 (dez) dias estará configurada a inexecução parcial, sem prejuízo das demais sanções devidas.</w:t>
      </w:r>
    </w:p>
    <w:p>
      <w:pPr>
        <w:pStyle w:val="Textoprformatado"/>
        <w:spacing w:lineRule="auto" w:line="240"/>
        <w:jc w:val="both"/>
        <w:rPr/>
      </w:pPr>
      <w:r>
        <w:rPr>
          <w:rStyle w:val="Cdigo-fonte"/>
          <w:rFonts w:cs="Arial" w:ascii="Verdana" w:hAnsi="Verdana"/>
          <w:sz w:val="20"/>
          <w:szCs w:val="20"/>
        </w:rPr>
        <w:t>07 - Atraso na entrega da Prestação de Contas (até o limite de 5 dias)</w:t>
      </w:r>
    </w:p>
    <w:p>
      <w:pPr>
        <w:pStyle w:val="Textoprformatado"/>
        <w:spacing w:lineRule="auto" w:line="240"/>
        <w:jc w:val="both"/>
        <w:rPr/>
      </w:pPr>
      <w:r>
        <w:rPr>
          <w:rStyle w:val="Cdigo-fonte"/>
          <w:rFonts w:cs="Arial" w:ascii="Verdana" w:hAnsi="Verdana"/>
          <w:sz w:val="20"/>
          <w:szCs w:val="20"/>
        </w:rPr>
        <w:t xml:space="preserve">- Multa de mora em 0,3 % (três décimos por cento) por dia de atraso, a incidir sobre o valor total recebido pelo contratado, até o limite de 05 (cinco) dias corridos, quando implicará em inexecução parcial do contrato, sem prejuízo das demais penalidades previstas no contrato e na Lei 14.133/21. </w:t>
      </w:r>
    </w:p>
    <w:p>
      <w:pPr>
        <w:pStyle w:val="Textoprformatado"/>
        <w:spacing w:lineRule="auto" w:line="240"/>
        <w:jc w:val="both"/>
        <w:rPr/>
      </w:pPr>
      <w:r>
        <w:rPr>
          <w:rStyle w:val="Cdigo-fonte"/>
          <w:rFonts w:cs="Arial" w:ascii="Verdana" w:hAnsi="Verdana"/>
          <w:sz w:val="20"/>
          <w:szCs w:val="20"/>
        </w:rPr>
        <w:t>- Se superior a 05 (cinco) dias estará configurada a inexecução parcial do contrato, sem prejuízo das demais sanções devidas.</w:t>
      </w:r>
    </w:p>
    <w:p>
      <w:pPr>
        <w:pStyle w:val="Textoprformatado"/>
        <w:spacing w:lineRule="auto" w:line="240"/>
        <w:jc w:val="both"/>
        <w:rPr>
          <w:rFonts w:ascii="Verdana" w:hAnsi="Verdana" w:cs="Arial"/>
          <w:sz w:val="20"/>
          <w:szCs w:val="20"/>
        </w:rPr>
      </w:pPr>
      <w:r>
        <w:rPr>
          <w:rFonts w:cs="Arial" w:ascii="Verdana" w:hAnsi="Verdana"/>
          <w:sz w:val="20"/>
          <w:szCs w:val="20"/>
        </w:rPr>
      </w:r>
    </w:p>
    <w:p>
      <w:pPr>
        <w:pStyle w:val="Textoprformatado"/>
        <w:spacing w:lineRule="auto" w:line="240"/>
        <w:jc w:val="both"/>
        <w:rPr/>
      </w:pPr>
      <w:r>
        <w:rPr>
          <w:rStyle w:val="Cdigo-fonte"/>
          <w:rFonts w:cs="Arial" w:ascii="Verdana" w:hAnsi="Verdana"/>
          <w:sz w:val="20"/>
          <w:szCs w:val="20"/>
        </w:rPr>
        <w:t>- Não cumprir qualquer outra obrigação contratual não citada especificamente nesta tabela, salvo se apresentada justificativa prévia e aceita pela CONTRATANTE</w:t>
      </w:r>
    </w:p>
    <w:p>
      <w:pPr>
        <w:pStyle w:val="Textoprformatado"/>
        <w:spacing w:lineRule="auto" w:line="240"/>
        <w:jc w:val="both"/>
        <w:rPr/>
      </w:pPr>
      <w:r>
        <w:rPr>
          <w:rStyle w:val="Cdigo-fonte"/>
          <w:rFonts w:cs="Arial" w:ascii="Verdana" w:hAnsi="Verdana"/>
          <w:sz w:val="20"/>
          <w:szCs w:val="20"/>
        </w:rPr>
        <w:t>Multa de mora em 0,3 % (três décimos por cento) por dia de atraso e por ocorrência, a incidir sobre o valor total. recebido pelo contratado, até o limite de 30 (trinta) dias, quando poderá implicar em inexecução parcial do contrato, sem prejuízo das demais penalidades previstas no contrato e na Lei nº 14.133/2021.</w:t>
      </w:r>
    </w:p>
    <w:p>
      <w:pPr>
        <w:pStyle w:val="Textoprformatado"/>
        <w:spacing w:lineRule="auto" w:line="240"/>
        <w:jc w:val="both"/>
        <w:rPr>
          <w:rFonts w:ascii="Verdana" w:hAnsi="Verdana" w:cs="Arial"/>
          <w:sz w:val="20"/>
          <w:szCs w:val="20"/>
        </w:rPr>
      </w:pPr>
      <w:r>
        <w:rPr>
          <w:rFonts w:cs="Arial" w:ascii="Verdana" w:hAnsi="Verdana"/>
          <w:sz w:val="20"/>
          <w:szCs w:val="20"/>
        </w:rPr>
      </w:r>
    </w:p>
    <w:p>
      <w:pPr>
        <w:pStyle w:val="Textoprformatado"/>
        <w:spacing w:lineRule="auto" w:line="240"/>
        <w:jc w:val="both"/>
        <w:rPr/>
      </w:pPr>
      <w:r>
        <w:rPr>
          <w:rStyle w:val="Cdigo-fonte"/>
          <w:rFonts w:cs="Arial" w:ascii="Verdana" w:hAnsi="Verdana"/>
          <w:sz w:val="20"/>
          <w:szCs w:val="20"/>
        </w:rPr>
        <w:t>11.11. Cancelamento do respectivo credenciamento, nos seguintes casos:</w:t>
      </w:r>
    </w:p>
    <w:p>
      <w:pPr>
        <w:pStyle w:val="Textoprformatado"/>
        <w:spacing w:lineRule="auto" w:line="240"/>
        <w:jc w:val="both"/>
        <w:rPr/>
      </w:pPr>
      <w:r>
        <w:rPr>
          <w:rStyle w:val="Cdigo-fonte"/>
          <w:rFonts w:cs="Arial" w:ascii="Verdana" w:hAnsi="Verdana"/>
          <w:sz w:val="20"/>
          <w:szCs w:val="20"/>
        </w:rPr>
        <w:t xml:space="preserve">a) Recusa injustificada em assinar o Instrumento Contratual para realização do Leilão; </w:t>
      </w:r>
    </w:p>
    <w:p>
      <w:pPr>
        <w:pStyle w:val="Textoprformatado"/>
        <w:spacing w:lineRule="auto" w:line="240"/>
        <w:jc w:val="both"/>
        <w:rPr/>
      </w:pPr>
      <w:r>
        <w:rPr>
          <w:rStyle w:val="Cdigo-fonte"/>
          <w:rFonts w:cs="Arial" w:ascii="Verdana" w:hAnsi="Verdana"/>
          <w:sz w:val="20"/>
          <w:szCs w:val="20"/>
        </w:rPr>
        <w:t xml:space="preserve">b) Recusa do serviço, independente do motivo, por 03 (três) vezes durante a validade do credenciamento; </w:t>
      </w:r>
    </w:p>
    <w:p>
      <w:pPr>
        <w:pStyle w:val="Textoprformatado"/>
        <w:spacing w:lineRule="auto" w:line="240"/>
        <w:jc w:val="both"/>
        <w:rPr/>
      </w:pPr>
      <w:r>
        <w:rPr>
          <w:rStyle w:val="Cdigo-fonte"/>
          <w:rFonts w:cs="Arial" w:ascii="Verdana" w:hAnsi="Verdana"/>
          <w:sz w:val="20"/>
          <w:szCs w:val="20"/>
        </w:rPr>
        <w:t>c) Omissão de informações para obter credenciamento;</w:t>
      </w:r>
    </w:p>
    <w:p>
      <w:pPr>
        <w:pStyle w:val="Textoprformatado"/>
        <w:spacing w:lineRule="auto" w:line="240"/>
        <w:jc w:val="both"/>
        <w:rPr/>
      </w:pPr>
      <w:r>
        <w:rPr>
          <w:rStyle w:val="Cdigo-fonte"/>
          <w:rFonts w:cs="Arial" w:ascii="Verdana" w:hAnsi="Verdana"/>
          <w:sz w:val="20"/>
          <w:szCs w:val="20"/>
        </w:rPr>
        <w:t>d) Falsidade ideológica;</w:t>
      </w:r>
    </w:p>
    <w:p>
      <w:pPr>
        <w:pStyle w:val="Textoprformatado"/>
        <w:spacing w:lineRule="auto" w:line="240"/>
        <w:jc w:val="both"/>
        <w:rPr/>
      </w:pPr>
      <w:r>
        <w:rPr>
          <w:rStyle w:val="Cdigo-fonte"/>
          <w:rFonts w:cs="Arial" w:ascii="Verdana" w:hAnsi="Verdana"/>
          <w:sz w:val="20"/>
          <w:szCs w:val="20"/>
        </w:rPr>
        <w:t xml:space="preserve">e) Decretação de falência ou insolvência civil; </w:t>
      </w:r>
    </w:p>
    <w:p>
      <w:pPr>
        <w:pStyle w:val="Textoprformatado"/>
        <w:spacing w:lineRule="auto" w:line="240"/>
        <w:jc w:val="both"/>
        <w:rPr/>
      </w:pPr>
      <w:r>
        <w:rPr>
          <w:rStyle w:val="Cdigo-fonte"/>
          <w:rFonts w:cs="Arial" w:ascii="Verdana" w:hAnsi="Verdana"/>
          <w:sz w:val="20"/>
          <w:szCs w:val="20"/>
        </w:rPr>
        <w:t xml:space="preserve">f) A pedido do credenciado. </w:t>
      </w:r>
    </w:p>
    <w:p>
      <w:pPr>
        <w:pStyle w:val="Textoprformatado"/>
        <w:spacing w:lineRule="auto" w:line="240"/>
        <w:jc w:val="both"/>
        <w:rPr>
          <w:rFonts w:ascii="Verdana" w:hAnsi="Verdana" w:cs="Arial"/>
          <w:sz w:val="20"/>
          <w:szCs w:val="20"/>
        </w:rPr>
      </w:pPr>
      <w:r>
        <w:rPr>
          <w:rFonts w:cs="Arial" w:ascii="Verdana" w:hAnsi="Verdana"/>
          <w:sz w:val="20"/>
          <w:szCs w:val="20"/>
        </w:rPr>
      </w:r>
    </w:p>
    <w:p>
      <w:pPr>
        <w:pStyle w:val="Textoprformatado"/>
        <w:spacing w:lineRule="auto" w:line="240"/>
        <w:jc w:val="both"/>
        <w:rPr/>
      </w:pPr>
      <w:r>
        <w:rPr>
          <w:rStyle w:val="Cdigo-fonte"/>
          <w:rFonts w:cs="Arial" w:ascii="Verdana" w:hAnsi="Verdana"/>
          <w:sz w:val="20"/>
          <w:szCs w:val="20"/>
        </w:rPr>
        <w:t>11.12. Rescisão do Contrato, nos seguintes casos:</w:t>
      </w:r>
    </w:p>
    <w:p>
      <w:pPr>
        <w:pStyle w:val="Textoprformatado"/>
        <w:spacing w:lineRule="auto" w:line="240"/>
        <w:jc w:val="both"/>
        <w:rPr/>
      </w:pPr>
      <w:r>
        <w:rPr>
          <w:rStyle w:val="Cdigo-fonte"/>
          <w:rFonts w:cs="Arial" w:ascii="Verdana" w:hAnsi="Verdana"/>
          <w:sz w:val="20"/>
          <w:szCs w:val="20"/>
        </w:rPr>
        <w:t xml:space="preserve">a) Omitir ou prestar informações inverídicas aos interessados sobre os bens ou as condições de venda que resultem na posterior desistência do adquirente em realizar a compra; </w:t>
      </w:r>
    </w:p>
    <w:p>
      <w:pPr>
        <w:pStyle w:val="Textoprformatado"/>
        <w:spacing w:lineRule="auto" w:line="240"/>
        <w:jc w:val="both"/>
        <w:rPr/>
      </w:pPr>
      <w:r>
        <w:rPr>
          <w:rStyle w:val="Cdigo-fonte"/>
          <w:rFonts w:cs="Arial" w:ascii="Verdana" w:hAnsi="Verdana"/>
          <w:sz w:val="20"/>
          <w:szCs w:val="20"/>
        </w:rPr>
        <w:t xml:space="preserve">b) Deixar de devolver a comissão paga pelo arrematante, no prazo de dois dias úteis da comunicação do fato, nos casos em que a providência for determinada; </w:t>
      </w:r>
    </w:p>
    <w:p>
      <w:pPr>
        <w:pStyle w:val="Textoprformatado"/>
        <w:spacing w:lineRule="auto" w:line="240"/>
        <w:jc w:val="both"/>
        <w:rPr/>
      </w:pPr>
      <w:r>
        <w:rPr>
          <w:rStyle w:val="Cdigo-fonte"/>
          <w:rFonts w:cs="Arial" w:ascii="Verdana" w:hAnsi="Verdana"/>
          <w:sz w:val="20"/>
          <w:szCs w:val="20"/>
        </w:rPr>
        <w:t>c) A cessão total ou parcial da prestação do serviço sem a anuência da contratante. d) Substabelecimento total ou parcial da prestação do serviço contratado.</w:t>
      </w:r>
    </w:p>
    <w:p>
      <w:pPr>
        <w:pStyle w:val="Textoprformatado"/>
        <w:spacing w:lineRule="auto" w:line="240"/>
        <w:jc w:val="both"/>
        <w:rPr/>
      </w:pPr>
      <w:r>
        <w:rPr>
          <w:rStyle w:val="Cdigo-fonte"/>
          <w:rFonts w:cs="Arial" w:ascii="Verdana" w:hAnsi="Verdana"/>
          <w:sz w:val="20"/>
          <w:szCs w:val="20"/>
        </w:rPr>
        <w:t xml:space="preserve">e) Recusar em corrigir as falhas na prestação do serviço, entendendo-se como recusa o serviço não efetivado nos 05 (cinco) dias que se seguirem à data da rejeição. </w:t>
      </w:r>
    </w:p>
    <w:p>
      <w:pPr>
        <w:pStyle w:val="Textoprformatado"/>
        <w:spacing w:lineRule="auto" w:line="240"/>
        <w:jc w:val="both"/>
        <w:rPr>
          <w:rFonts w:ascii="Verdana" w:hAnsi="Verdana" w:cs="Arial"/>
          <w:sz w:val="20"/>
          <w:szCs w:val="20"/>
        </w:rPr>
      </w:pPr>
      <w:r>
        <w:rPr>
          <w:rFonts w:cs="Arial" w:ascii="Verdana" w:hAnsi="Verdana"/>
          <w:sz w:val="20"/>
          <w:szCs w:val="20"/>
        </w:rPr>
      </w:r>
    </w:p>
    <w:p>
      <w:pPr>
        <w:pStyle w:val="Textoprformatado"/>
        <w:spacing w:lineRule="auto" w:line="240"/>
        <w:jc w:val="both"/>
        <w:rPr/>
      </w:pPr>
      <w:r>
        <w:rPr>
          <w:rStyle w:val="Cdigo-fonte"/>
          <w:rFonts w:cs="Arial" w:ascii="Verdana" w:hAnsi="Verdana"/>
          <w:b/>
          <w:bCs/>
          <w:sz w:val="20"/>
          <w:szCs w:val="20"/>
        </w:rPr>
        <w:t>12. DO PROCEDIMENTO PARA CANCELAMENTO DO INSTRUMENTO DE CREDENCIAMENTO</w:t>
      </w:r>
    </w:p>
    <w:p>
      <w:pPr>
        <w:pStyle w:val="Textoprformatado"/>
        <w:spacing w:lineRule="auto" w:line="240"/>
        <w:jc w:val="both"/>
        <w:rPr/>
      </w:pPr>
      <w:r>
        <w:rPr>
          <w:rStyle w:val="Cdigo-fonte"/>
          <w:rFonts w:cs="Arial" w:ascii="Verdana" w:hAnsi="Verdana"/>
          <w:sz w:val="20"/>
          <w:szCs w:val="20"/>
        </w:rPr>
        <w:t xml:space="preserve">a) No ato do cancelamento, o credenciado prestará contas de toda a documentação que lhe foi confiada, fazendo a entrega da respectiva documentação, devidamente protocolada na CONTRATANTE e transferirá os valores e/ou bens ainda pendentes de repasse decorrentes de leilões realizados; </w:t>
      </w:r>
    </w:p>
    <w:p>
      <w:pPr>
        <w:pStyle w:val="Textoprformatado"/>
        <w:spacing w:lineRule="auto" w:line="240"/>
        <w:jc w:val="both"/>
        <w:rPr/>
      </w:pPr>
      <w:r>
        <w:rPr>
          <w:rStyle w:val="Cdigo-fonte"/>
          <w:rFonts w:cs="Arial" w:ascii="Verdana" w:hAnsi="Verdana"/>
          <w:sz w:val="20"/>
          <w:szCs w:val="20"/>
        </w:rPr>
        <w:t xml:space="preserve">b) A CONTRATANTE não se responsabiliza pelo pagamento de nenhum crédito superveniente ao cancelamento do credenciamento; </w:t>
      </w:r>
    </w:p>
    <w:p>
      <w:pPr>
        <w:pStyle w:val="Textoprformatado"/>
        <w:spacing w:lineRule="auto" w:line="240"/>
        <w:jc w:val="both"/>
        <w:rPr/>
      </w:pPr>
      <w:r>
        <w:rPr>
          <w:rStyle w:val="Cdigo-fonte"/>
          <w:rFonts w:cs="Arial" w:ascii="Verdana" w:hAnsi="Verdana"/>
          <w:sz w:val="20"/>
          <w:szCs w:val="20"/>
        </w:rPr>
        <w:t>c) Também será cancelado, a pedido, o credenciamento do Leiloeiro, desde que não possua atividade pendente de conclusão, observados os subitens imediatamente anteriores.</w:t>
      </w:r>
    </w:p>
    <w:p>
      <w:pPr>
        <w:pStyle w:val="Textoprformatado"/>
        <w:spacing w:lineRule="auto" w:line="240"/>
        <w:jc w:val="both"/>
        <w:rPr>
          <w:rFonts w:ascii="Verdana" w:hAnsi="Verdana" w:cs="Arial"/>
          <w:sz w:val="20"/>
          <w:szCs w:val="20"/>
        </w:rPr>
      </w:pPr>
      <w:r>
        <w:rPr>
          <w:rFonts w:cs="Arial" w:ascii="Verdana" w:hAnsi="Verdana"/>
          <w:sz w:val="20"/>
          <w:szCs w:val="20"/>
        </w:rPr>
      </w:r>
    </w:p>
    <w:p>
      <w:pPr>
        <w:pStyle w:val="Textoprformatado"/>
        <w:spacing w:lineRule="auto" w:line="240"/>
        <w:jc w:val="both"/>
        <w:rPr/>
      </w:pPr>
      <w:r>
        <w:rPr>
          <w:rStyle w:val="Cdigo-fonte"/>
          <w:rFonts w:cs="Arial" w:ascii="Verdana" w:hAnsi="Verdana"/>
          <w:b/>
          <w:bCs/>
          <w:sz w:val="20"/>
          <w:szCs w:val="20"/>
        </w:rPr>
        <w:t>13. DA REMUNERAÇÃO DO LEILOEIRO</w:t>
      </w:r>
    </w:p>
    <w:p>
      <w:pPr>
        <w:pStyle w:val="Textoprformatado"/>
        <w:spacing w:lineRule="auto" w:line="240"/>
        <w:jc w:val="both"/>
        <w:rPr/>
      </w:pPr>
      <w:r>
        <w:rPr>
          <w:rStyle w:val="Cdigo-fonte"/>
          <w:rFonts w:cs="Arial" w:ascii="Verdana" w:hAnsi="Verdana"/>
          <w:sz w:val="20"/>
          <w:szCs w:val="20"/>
        </w:rPr>
        <w:t>13.1. O leiloeiro terá direito a receber a comissão de 5%, para bens móveis, a ser paga pelo arrematante, nos termos do Decreto nº 21.981, de 1923.</w:t>
      </w:r>
    </w:p>
    <w:p>
      <w:pPr>
        <w:pStyle w:val="Textoprformatado"/>
        <w:spacing w:lineRule="auto" w:line="240"/>
        <w:jc w:val="both"/>
        <w:rPr/>
      </w:pPr>
      <w:r>
        <w:rPr>
          <w:rStyle w:val="Cdigo-fonte"/>
          <w:rFonts w:cs="Arial" w:ascii="Verdana" w:hAnsi="Verdana"/>
          <w:sz w:val="20"/>
          <w:szCs w:val="20"/>
        </w:rPr>
        <w:t>13.2. Não caberá à CONTRATANTE qualquer responsabilidade por cobrança de comissões devidas pelos arrematantes, nem por despesas dispendidas pelo Leiloeiro Oficial para recebê-las.</w:t>
      </w:r>
    </w:p>
    <w:p>
      <w:pPr>
        <w:pStyle w:val="Textoprformatado"/>
        <w:spacing w:lineRule="auto" w:line="240"/>
        <w:jc w:val="both"/>
        <w:rPr/>
      </w:pPr>
      <w:r>
        <w:rPr>
          <w:rStyle w:val="Cdigo-fonte"/>
          <w:rFonts w:cs="Arial" w:ascii="Verdana" w:hAnsi="Verdana"/>
          <w:sz w:val="20"/>
          <w:szCs w:val="20"/>
        </w:rPr>
        <w:t>13.3. Poderão ser cobradas do arrematante, pelo Leiloeiro, taxas referentes a recorte de chassis dos veículos considerados sucatas, bem como outras taxas administrativas, desde que estejam previstas no Edital do Leilão.</w:t>
      </w:r>
    </w:p>
    <w:p>
      <w:pPr>
        <w:pStyle w:val="Textoprformatado"/>
        <w:spacing w:lineRule="auto" w:line="240"/>
        <w:jc w:val="both"/>
        <w:rPr>
          <w:rFonts w:ascii="Verdana" w:hAnsi="Verdana" w:cs="Arial"/>
          <w:sz w:val="20"/>
          <w:szCs w:val="20"/>
        </w:rPr>
      </w:pPr>
      <w:r>
        <w:rPr>
          <w:rFonts w:cs="Arial" w:ascii="Verdana" w:hAnsi="Verdana"/>
          <w:sz w:val="20"/>
          <w:szCs w:val="20"/>
        </w:rPr>
      </w:r>
    </w:p>
    <w:p>
      <w:pPr>
        <w:pStyle w:val="Textoprformatado"/>
        <w:spacing w:lineRule="auto" w:line="240"/>
        <w:jc w:val="both"/>
        <w:rPr/>
      </w:pPr>
      <w:r>
        <w:rPr>
          <w:rStyle w:val="Cdigo-fonte"/>
          <w:rFonts w:cs="Arial" w:ascii="Verdana" w:hAnsi="Verdana"/>
          <w:b/>
          <w:bCs/>
          <w:sz w:val="20"/>
          <w:szCs w:val="20"/>
        </w:rPr>
        <w:t>14. DISPOSIÇÕES FINAIS</w:t>
      </w:r>
    </w:p>
    <w:p>
      <w:pPr>
        <w:pStyle w:val="Textoprformatado"/>
        <w:spacing w:lineRule="auto" w:line="240"/>
        <w:jc w:val="both"/>
        <w:rPr/>
      </w:pPr>
      <w:r>
        <w:rPr>
          <w:rStyle w:val="Cdigo-fonte"/>
          <w:rFonts w:cs="Arial" w:ascii="Verdana" w:hAnsi="Verdana"/>
          <w:sz w:val="20"/>
          <w:szCs w:val="20"/>
        </w:rPr>
        <w:t>14.1. Os custos financeiros de todas as ações praticadas pelo Leiloeiro Oficial serão de sua exclusiva responsabilidade, não havendo nenhuma responsabilidade da CONTRATANTE.</w:t>
      </w:r>
    </w:p>
    <w:p>
      <w:pPr>
        <w:pStyle w:val="Textoprformatado"/>
        <w:spacing w:lineRule="auto" w:line="240"/>
        <w:jc w:val="both"/>
        <w:rPr/>
      </w:pPr>
      <w:r>
        <w:rPr>
          <w:rStyle w:val="Cdigo-fonte"/>
          <w:rFonts w:cs="Arial" w:ascii="Verdana" w:hAnsi="Verdana"/>
          <w:sz w:val="20"/>
          <w:szCs w:val="20"/>
        </w:rPr>
        <w:t>14.2. A avaliação pecuniária dos bens móveis, veículos e congêneres, cujo valor será considerado para lance mínimo nos leilões, será elaborada por comissão especial de credenciamento e de leilões da Contratante, designada pelo titular da SEMAD/PMSGP.</w:t>
      </w:r>
    </w:p>
    <w:p>
      <w:pPr>
        <w:pStyle w:val="Textoprformatado"/>
        <w:spacing w:lineRule="auto" w:line="240"/>
        <w:jc w:val="both"/>
        <w:rPr/>
      </w:pPr>
      <w:r>
        <w:rPr>
          <w:rStyle w:val="Cdigo-fonte"/>
          <w:rFonts w:cs="Arial" w:ascii="Verdana" w:hAnsi="Verdana"/>
          <w:sz w:val="20"/>
          <w:szCs w:val="20"/>
        </w:rPr>
        <w:t>14.3. O leiloeiro oficial poderá solicitar a rescisão contratual e/ou descredenciamento no prazo mínimo de ao menos 90 (noventa) dias antes do dia da realização do Leilão.</w:t>
      </w:r>
    </w:p>
    <w:p>
      <w:pPr>
        <w:pStyle w:val="Textoprformatado"/>
        <w:spacing w:lineRule="auto" w:line="240"/>
        <w:jc w:val="both"/>
        <w:rPr/>
      </w:pPr>
      <w:r>
        <w:rPr>
          <w:rStyle w:val="Cdigo-fonte"/>
          <w:rFonts w:cs="Arial" w:ascii="Verdana" w:hAnsi="Verdana"/>
          <w:sz w:val="20"/>
          <w:szCs w:val="20"/>
        </w:rPr>
        <w:t xml:space="preserve">14.4. Os usuários dos serviços prestados pelo Leiloeiro Oficial poderão denunciar eventuais irregularidades por meio do e-mail administracao@saogabriel.es.gov.br ou </w:t>
      </w:r>
      <w:hyperlink r:id="rId2">
        <w:r>
          <w:rPr>
            <w:rStyle w:val="LinkdaInternet"/>
            <w:rFonts w:eastAsia="NSimSun" w:cs="Arial" w:ascii="Verdana" w:hAnsi="Verdana"/>
            <w:sz w:val="20"/>
            <w:szCs w:val="20"/>
          </w:rPr>
          <w:t>licitacao@saogabriel.es.gov.br</w:t>
        </w:r>
      </w:hyperlink>
      <w:r>
        <w:rPr>
          <w:rStyle w:val="Cdigo-fonte"/>
          <w:rFonts w:cs="Arial" w:ascii="Verdana" w:hAnsi="Verdana"/>
          <w:sz w:val="20"/>
          <w:szCs w:val="20"/>
        </w:rPr>
        <w:t>.</w:t>
      </w:r>
    </w:p>
    <w:p>
      <w:pPr>
        <w:pStyle w:val="Textoprformatado"/>
        <w:spacing w:lineRule="auto" w:line="240"/>
        <w:jc w:val="both"/>
        <w:rPr>
          <w:rFonts w:ascii="Verdana" w:hAnsi="Verdana" w:cs="Arial"/>
          <w:sz w:val="20"/>
          <w:szCs w:val="20"/>
        </w:rPr>
      </w:pPr>
      <w:r>
        <w:rPr>
          <w:rFonts w:cs="Arial" w:ascii="Verdana" w:hAnsi="Verdana"/>
          <w:sz w:val="20"/>
          <w:szCs w:val="20"/>
        </w:rPr>
      </w:r>
    </w:p>
    <w:p>
      <w:pPr>
        <w:pStyle w:val="Normal"/>
        <w:spacing w:lineRule="auto" w:line="240"/>
        <w:ind w:left="0" w:right="0" w:hanging="0"/>
        <w:jc w:val="both"/>
        <w:rPr>
          <w:rFonts w:ascii="Verdana" w:hAnsi="Verdana"/>
          <w:sz w:val="20"/>
          <w:szCs w:val="20"/>
        </w:rPr>
      </w:pPr>
      <w:r>
        <w:rPr>
          <w:rFonts w:ascii="Verdana" w:hAnsi="Verdana"/>
          <w:b/>
          <w:bCs/>
          <w:sz w:val="20"/>
          <w:szCs w:val="20"/>
        </w:rPr>
        <w:t xml:space="preserve">15. ADEQUAÇÃO ORÇAMENTÁRIA </w:t>
      </w:r>
    </w:p>
    <w:p>
      <w:pPr>
        <w:pStyle w:val="Normal"/>
        <w:spacing w:lineRule="auto" w:line="240"/>
        <w:ind w:left="0" w:right="0" w:hanging="0"/>
        <w:jc w:val="both"/>
        <w:rPr>
          <w:rFonts w:ascii="Verdana" w:hAnsi="Verdana"/>
          <w:sz w:val="20"/>
          <w:szCs w:val="20"/>
        </w:rPr>
      </w:pPr>
      <w:r>
        <w:rPr>
          <w:rFonts w:ascii="Verdana" w:hAnsi="Verdana"/>
          <w:sz w:val="20"/>
          <w:szCs w:val="20"/>
        </w:rPr>
        <w:t>15.1 As despesas decorrentes da presente contratação correrão à conta de recursos específicos consignados no Lei Orçamentária Anual, bem como requisição do sistema presente nos autos, sendo a contratação será atendida pela seguinte dotação:</w:t>
      </w:r>
    </w:p>
    <w:p>
      <w:pPr>
        <w:pStyle w:val="Normal"/>
        <w:spacing w:lineRule="auto" w:line="240"/>
        <w:jc w:val="both"/>
        <w:rPr>
          <w:rFonts w:ascii="Verdana" w:hAnsi="Verdana" w:cs="Arial"/>
          <w:b/>
          <w:sz w:val="20"/>
          <w:szCs w:val="20"/>
          <w:u w:val="single"/>
        </w:rPr>
      </w:pPr>
      <w:r>
        <w:rPr>
          <w:rFonts w:cs="Arial" w:ascii="Verdana" w:hAnsi="Verdana"/>
          <w:b/>
          <w:sz w:val="20"/>
          <w:szCs w:val="20"/>
          <w:u w:val="single"/>
        </w:rPr>
      </w:r>
    </w:p>
    <w:p>
      <w:pPr>
        <w:pStyle w:val="Normal"/>
        <w:spacing w:lineRule="auto" w:line="240"/>
        <w:jc w:val="both"/>
        <w:rPr>
          <w:rFonts w:ascii="Verdana" w:hAnsi="Verdana"/>
          <w:sz w:val="20"/>
          <w:szCs w:val="20"/>
        </w:rPr>
      </w:pPr>
      <w:r>
        <w:rPr>
          <w:rFonts w:ascii="Verdana" w:hAnsi="Verdana"/>
          <w:sz w:val="20"/>
          <w:szCs w:val="20"/>
        </w:rPr>
        <w:t xml:space="preserve">FICHA – FONTE: 00045-1500000000 </w:t>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ascii="Verdana" w:hAnsi="Verdana"/>
          <w:b/>
          <w:bCs/>
          <w:sz w:val="20"/>
          <w:szCs w:val="20"/>
        </w:rPr>
        <w:t>16.</w:t>
      </w:r>
      <w:r>
        <w:rPr>
          <w:rFonts w:ascii="Verdana" w:hAnsi="Verdana"/>
          <w:sz w:val="20"/>
          <w:szCs w:val="20"/>
        </w:rPr>
        <w:t xml:space="preserve"> </w:t>
      </w:r>
      <w:r>
        <w:rPr>
          <w:rFonts w:cs="Arial" w:ascii="Verdana" w:hAnsi="Verdana"/>
          <w:b/>
          <w:bCs/>
          <w:color w:val="000000"/>
          <w:sz w:val="20"/>
          <w:szCs w:val="20"/>
        </w:rPr>
        <w:t>DOS RESPONSÁVEIS PELA ELABORAÇÃO DO TERMO DE REFERÊNCIA</w:t>
      </w:r>
    </w:p>
    <w:p>
      <w:pPr>
        <w:pStyle w:val="Normal"/>
        <w:spacing w:lineRule="auto" w:line="240"/>
        <w:jc w:val="both"/>
        <w:rPr>
          <w:rFonts w:ascii="Verdana" w:hAnsi="Verdana"/>
          <w:sz w:val="20"/>
          <w:szCs w:val="20"/>
        </w:rPr>
      </w:pPr>
      <w:r>
        <w:rPr>
          <w:rFonts w:eastAsia="Times New Roman" w:cs="Arial" w:ascii="Verdana" w:hAnsi="Verdana"/>
          <w:b w:val="false"/>
          <w:bCs w:val="false"/>
          <w:color w:val="000000"/>
          <w:sz w:val="20"/>
          <w:szCs w:val="20"/>
        </w:rPr>
        <w:t>16</w:t>
      </w:r>
      <w:r>
        <w:rPr>
          <w:rFonts w:cs="Arial" w:ascii="Verdana" w:hAnsi="Verdana"/>
          <w:b w:val="false"/>
          <w:bCs w:val="false"/>
          <w:color w:val="000000"/>
          <w:sz w:val="20"/>
          <w:szCs w:val="20"/>
        </w:rPr>
        <w:t>.1.</w:t>
      </w:r>
      <w:r>
        <w:rPr>
          <w:rFonts w:eastAsia="Times New Roman" w:cs="Arial" w:ascii="Verdana" w:hAnsi="Verdana"/>
          <w:b w:val="false"/>
          <w:bCs w:val="false"/>
          <w:color w:val="000000"/>
          <w:sz w:val="20"/>
          <w:szCs w:val="20"/>
          <w:u w:val="none"/>
        </w:rPr>
        <w:t xml:space="preserve"> A compilação das informações mencionados na elaboração deste Termo de Referência foram estruturadas/fundamentado no estudo técnico preliminar que concluiu pela viabilidade da contratação, em anexo nos autos e  elaborado pela secretaria requisitante.</w:t>
      </w:r>
    </w:p>
    <w:p>
      <w:pPr>
        <w:pStyle w:val="Normal"/>
        <w:spacing w:lineRule="auto" w:line="240"/>
        <w:jc w:val="right"/>
        <w:rPr>
          <w:rFonts w:ascii="Verdana" w:hAnsi="Verdana"/>
          <w:sz w:val="20"/>
          <w:szCs w:val="20"/>
        </w:rPr>
      </w:pPr>
      <w:r>
        <w:rPr>
          <w:rFonts w:ascii="Verdana" w:hAnsi="Verdana"/>
          <w:sz w:val="20"/>
          <w:szCs w:val="20"/>
        </w:rPr>
      </w:r>
    </w:p>
    <w:p>
      <w:pPr>
        <w:pStyle w:val="Normal"/>
        <w:spacing w:lineRule="auto" w:line="240"/>
        <w:jc w:val="right"/>
        <w:rPr>
          <w:rFonts w:ascii="Verdana" w:hAnsi="Verdana"/>
          <w:sz w:val="20"/>
          <w:szCs w:val="20"/>
        </w:rPr>
      </w:pPr>
      <w:r>
        <w:rPr>
          <w:rFonts w:ascii="Verdana" w:hAnsi="Verdana"/>
          <w:sz w:val="20"/>
          <w:szCs w:val="20"/>
        </w:rPr>
      </w:r>
    </w:p>
    <w:p>
      <w:pPr>
        <w:pStyle w:val="Normal"/>
        <w:spacing w:lineRule="auto" w:line="240"/>
        <w:jc w:val="right"/>
        <w:rPr>
          <w:rFonts w:ascii="Verdana" w:hAnsi="Verdana"/>
          <w:sz w:val="20"/>
          <w:szCs w:val="20"/>
        </w:rPr>
      </w:pPr>
      <w:r>
        <w:rPr>
          <w:rFonts w:ascii="Verdana" w:hAnsi="Verdana"/>
          <w:sz w:val="20"/>
          <w:szCs w:val="20"/>
        </w:rPr>
      </w:r>
    </w:p>
    <w:p>
      <w:pPr>
        <w:pStyle w:val="Normal"/>
        <w:spacing w:lineRule="auto" w:line="240"/>
        <w:jc w:val="right"/>
        <w:rPr>
          <w:rFonts w:ascii="Verdana" w:hAnsi="Verdana"/>
          <w:sz w:val="20"/>
          <w:szCs w:val="20"/>
        </w:rPr>
      </w:pPr>
      <w:r>
        <w:rPr>
          <w:rFonts w:ascii="Verdana" w:hAnsi="Verdana"/>
          <w:sz w:val="20"/>
          <w:szCs w:val="20"/>
        </w:rPr>
      </w:r>
    </w:p>
    <w:p>
      <w:pPr>
        <w:pStyle w:val="Normal"/>
        <w:spacing w:lineRule="auto" w:line="240"/>
        <w:jc w:val="right"/>
        <w:rPr>
          <w:rFonts w:ascii="Verdana" w:hAnsi="Verdana"/>
          <w:sz w:val="20"/>
          <w:szCs w:val="20"/>
        </w:rPr>
      </w:pPr>
      <w:r>
        <w:rPr>
          <w:rFonts w:ascii="Verdana" w:hAnsi="Verdana"/>
          <w:sz w:val="20"/>
          <w:szCs w:val="20"/>
        </w:rPr>
        <w:t>São Gabriel da Palha, 25</w:t>
      </w:r>
      <w:r>
        <w:rPr>
          <w:rFonts w:ascii="Verdana" w:hAnsi="Verdana"/>
          <w:color w:val="000000"/>
          <w:sz w:val="20"/>
          <w:szCs w:val="20"/>
        </w:rPr>
        <w:t xml:space="preserve"> de julho de 2025</w:t>
      </w:r>
    </w:p>
    <w:p>
      <w:pPr>
        <w:pStyle w:val="Normal"/>
        <w:spacing w:lineRule="auto" w:line="240"/>
        <w:jc w:val="right"/>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cs="Arial" w:ascii="Verdana" w:hAnsi="Verdana"/>
          <w:b/>
          <w:bCs/>
          <w:sz w:val="20"/>
          <w:szCs w:val="20"/>
        </w:rPr>
        <w:t>Elaborado por:</w:t>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rPr>
          <w:rFonts w:ascii="Verdana" w:hAnsi="Verdana"/>
          <w:sz w:val="20"/>
          <w:szCs w:val="20"/>
        </w:rPr>
      </w:pPr>
      <w:r>
        <w:rPr>
          <w:rFonts w:ascii="Verdana" w:hAnsi="Verdana"/>
          <w:sz w:val="20"/>
          <w:szCs w:val="20"/>
        </w:rPr>
        <w:t>RODOLFO ANTÔNIO DA SILVA NETO</w:t>
      </w:r>
    </w:p>
    <w:p>
      <w:pPr>
        <w:pStyle w:val="Normal"/>
        <w:spacing w:lineRule="auto" w:line="240"/>
        <w:rPr>
          <w:rFonts w:ascii="Verdana" w:hAnsi="Verdana"/>
          <w:sz w:val="20"/>
          <w:szCs w:val="20"/>
        </w:rPr>
      </w:pPr>
      <w:r>
        <w:rPr>
          <w:rFonts w:ascii="Verdana" w:hAnsi="Verdana"/>
          <w:sz w:val="20"/>
          <w:szCs w:val="20"/>
        </w:rPr>
        <w:t>Agente de Serviços Técnicos – Portaria n° 9.965/2025</w:t>
      </w:r>
    </w:p>
    <w:p>
      <w:pPr>
        <w:pStyle w:val="Normal"/>
        <w:spacing w:lineRule="auto" w:line="240"/>
        <w:jc w:val="both"/>
        <w:rPr>
          <w:rFonts w:ascii="Verdana" w:hAnsi="Verdana"/>
          <w:sz w:val="20"/>
          <w:szCs w:val="20"/>
        </w:rPr>
      </w:pPr>
      <w:r>
        <w:rPr>
          <w:rFonts w:cs="Arial" w:ascii="Verdana" w:hAnsi="Verdana"/>
          <w:b w:val="false"/>
          <w:bCs w:val="false"/>
          <w:sz w:val="20"/>
          <w:szCs w:val="20"/>
        </w:rPr>
        <w:t>Mat. nº 000406</w:t>
      </w:r>
    </w:p>
    <w:p>
      <w:pPr>
        <w:pStyle w:val="Normal"/>
        <w:spacing w:lineRule="auto" w:line="240"/>
        <w:jc w:val="both"/>
        <w:rPr>
          <w:rFonts w:ascii="Verdana" w:hAnsi="Verdana" w:cs="Arial"/>
          <w:b/>
          <w:bCs/>
          <w:sz w:val="20"/>
          <w:szCs w:val="20"/>
        </w:rPr>
      </w:pPr>
      <w:r>
        <w:rPr>
          <w:rFonts w:cs="Arial" w:ascii="Verdana" w:hAnsi="Verdana"/>
          <w:b/>
          <w:bCs/>
          <w:sz w:val="20"/>
          <w:szCs w:val="20"/>
        </w:rPr>
      </w:r>
    </w:p>
    <w:p>
      <w:pPr>
        <w:pStyle w:val="Normal"/>
        <w:spacing w:lineRule="auto" w:line="240"/>
        <w:jc w:val="both"/>
        <w:rPr>
          <w:rFonts w:ascii="Verdana" w:hAnsi="Verdana" w:cs="Arial"/>
          <w:b/>
          <w:bCs/>
          <w:sz w:val="20"/>
          <w:szCs w:val="20"/>
        </w:rPr>
      </w:pPr>
      <w:r>
        <w:rPr>
          <w:rFonts w:cs="Arial" w:ascii="Verdana" w:hAnsi="Verdana"/>
          <w:b/>
          <w:bCs/>
          <w:sz w:val="20"/>
          <w:szCs w:val="20"/>
        </w:rPr>
      </w:r>
    </w:p>
    <w:p>
      <w:pPr>
        <w:pStyle w:val="Normal"/>
        <w:spacing w:lineRule="auto" w:line="240"/>
        <w:jc w:val="both"/>
        <w:rPr>
          <w:rFonts w:ascii="Verdana" w:hAnsi="Verdana" w:cs="Arial"/>
          <w:b/>
          <w:bCs/>
          <w:sz w:val="20"/>
          <w:szCs w:val="20"/>
        </w:rPr>
      </w:pPr>
      <w:r>
        <w:rPr>
          <w:rFonts w:cs="Arial" w:ascii="Verdana" w:hAnsi="Verdana"/>
          <w:b/>
          <w:bCs/>
          <w:sz w:val="20"/>
          <w:szCs w:val="20"/>
        </w:rPr>
      </w:r>
    </w:p>
    <w:p>
      <w:pPr>
        <w:pStyle w:val="Normal"/>
        <w:spacing w:lineRule="auto" w:line="240"/>
        <w:jc w:val="both"/>
        <w:rPr>
          <w:rFonts w:ascii="Verdana" w:hAnsi="Verdana" w:cs="Arial"/>
          <w:b/>
          <w:bCs/>
          <w:sz w:val="20"/>
          <w:szCs w:val="20"/>
        </w:rPr>
      </w:pPr>
      <w:r>
        <w:rPr>
          <w:rFonts w:cs="Arial" w:ascii="Verdana" w:hAnsi="Verdana"/>
          <w:b/>
          <w:bCs/>
          <w:sz w:val="20"/>
          <w:szCs w:val="20"/>
        </w:rPr>
      </w:r>
    </w:p>
    <w:p>
      <w:pPr>
        <w:pStyle w:val="Normal"/>
        <w:spacing w:lineRule="auto" w:line="240"/>
        <w:jc w:val="both"/>
        <w:rPr>
          <w:rFonts w:ascii="Verdana" w:hAnsi="Verdana" w:cs="Arial"/>
          <w:b/>
          <w:bCs/>
          <w:sz w:val="20"/>
          <w:szCs w:val="20"/>
        </w:rPr>
      </w:pPr>
      <w:r>
        <w:rPr>
          <w:rFonts w:cs="Arial" w:ascii="Verdana" w:hAnsi="Verdana"/>
          <w:b/>
          <w:bCs/>
          <w:sz w:val="20"/>
          <w:szCs w:val="20"/>
        </w:rPr>
      </w:r>
    </w:p>
    <w:p>
      <w:pPr>
        <w:pStyle w:val="Normal"/>
        <w:spacing w:lineRule="auto" w:line="240"/>
        <w:jc w:val="both"/>
        <w:rPr>
          <w:rFonts w:ascii="Verdana" w:hAnsi="Verdana" w:cs="Arial"/>
          <w:b/>
          <w:bCs/>
          <w:sz w:val="20"/>
          <w:szCs w:val="20"/>
        </w:rPr>
      </w:pPr>
      <w:r>
        <w:rPr>
          <w:rFonts w:cs="Arial" w:ascii="Verdana" w:hAnsi="Verdana"/>
          <w:b/>
          <w:bCs/>
          <w:sz w:val="20"/>
          <w:szCs w:val="20"/>
        </w:rPr>
      </w:r>
    </w:p>
    <w:p>
      <w:pPr>
        <w:pStyle w:val="Normal"/>
        <w:spacing w:lineRule="auto" w:line="240"/>
        <w:jc w:val="both"/>
        <w:rPr>
          <w:rFonts w:ascii="Verdana" w:hAnsi="Verdana" w:cs="Arial"/>
          <w:b/>
          <w:bCs/>
          <w:sz w:val="20"/>
          <w:szCs w:val="20"/>
        </w:rPr>
      </w:pPr>
      <w:r>
        <w:rPr>
          <w:rFonts w:cs="Arial" w:ascii="Verdana" w:hAnsi="Verdana"/>
          <w:b/>
          <w:bCs/>
          <w:sz w:val="20"/>
          <w:szCs w:val="20"/>
        </w:rPr>
      </w:r>
    </w:p>
    <w:p>
      <w:pPr>
        <w:pStyle w:val="Normal"/>
        <w:spacing w:lineRule="auto" w:line="240"/>
        <w:jc w:val="both"/>
        <w:rPr>
          <w:rFonts w:ascii="Verdana" w:hAnsi="Verdana"/>
          <w:sz w:val="20"/>
          <w:szCs w:val="20"/>
        </w:rPr>
      </w:pPr>
      <w:r>
        <w:rPr>
          <w:rFonts w:cs="Arial" w:ascii="Verdana" w:hAnsi="Verdana"/>
          <w:b w:val="false"/>
          <w:bCs w:val="false"/>
          <w:sz w:val="20"/>
          <w:szCs w:val="20"/>
        </w:rPr>
        <w:t>RUTH BARBARA DA SILWA NASCIMENTO</w:t>
      </w:r>
    </w:p>
    <w:p>
      <w:pPr>
        <w:pStyle w:val="Normal"/>
        <w:spacing w:lineRule="auto" w:line="240"/>
        <w:jc w:val="both"/>
        <w:rPr>
          <w:rFonts w:ascii="Verdana" w:hAnsi="Verdana"/>
          <w:sz w:val="20"/>
          <w:szCs w:val="20"/>
        </w:rPr>
      </w:pPr>
      <w:r>
        <w:rPr>
          <w:rFonts w:cs="Arial" w:ascii="Verdana" w:hAnsi="Verdana"/>
          <w:b w:val="false"/>
          <w:bCs w:val="false"/>
          <w:sz w:val="20"/>
          <w:szCs w:val="20"/>
        </w:rPr>
        <w:t>Agente de Serviços Técnicos - Decreto n° 4.816/2025.</w:t>
      </w:r>
    </w:p>
    <w:p>
      <w:pPr>
        <w:pStyle w:val="Normal"/>
        <w:spacing w:lineRule="auto" w:line="240"/>
        <w:jc w:val="both"/>
        <w:rPr>
          <w:rFonts w:ascii="Verdana" w:hAnsi="Verdana"/>
          <w:sz w:val="20"/>
          <w:szCs w:val="20"/>
        </w:rPr>
      </w:pPr>
      <w:r>
        <w:rPr>
          <w:rFonts w:cs="Arial" w:ascii="Verdana" w:hAnsi="Verdana"/>
          <w:b w:val="false"/>
          <w:bCs w:val="false"/>
          <w:sz w:val="20"/>
          <w:szCs w:val="20"/>
        </w:rPr>
        <w:t>Mat. nº 002983</w:t>
      </w:r>
      <w:bookmarkStart w:id="2" w:name="art122%252525252525252525252525252525252"/>
      <w:bookmarkStart w:id="3" w:name="art122%252525252525252525252525252525251"/>
      <w:bookmarkStart w:id="4" w:name="art122%252525252525252525252525252525253"/>
      <w:bookmarkStart w:id="5" w:name="art122%252525252525252525252525252525254"/>
      <w:bookmarkStart w:id="6" w:name="art122%252525252525252525252525252525255"/>
      <w:bookmarkStart w:id="7" w:name="_Hlk1575167001"/>
      <w:bookmarkEnd w:id="2"/>
      <w:bookmarkEnd w:id="3"/>
      <w:bookmarkEnd w:id="4"/>
      <w:bookmarkEnd w:id="5"/>
      <w:bookmarkEnd w:id="6"/>
      <w:bookmarkEnd w:id="7"/>
    </w:p>
    <w:p>
      <w:pPr>
        <w:pStyle w:val="Normal"/>
        <w:spacing w:lineRule="auto" w:line="240"/>
        <w:rPr>
          <w:rFonts w:ascii="Verdana" w:hAnsi="Verdana"/>
          <w:sz w:val="20"/>
          <w:szCs w:val="20"/>
        </w:rPr>
      </w:pPr>
      <w:r>
        <w:rPr>
          <w:rFonts w:ascii="Verdana" w:hAnsi="Verdana"/>
          <w:sz w:val="20"/>
          <w:szCs w:val="20"/>
        </w:rPr>
      </w:r>
      <w:bookmarkStart w:id="8" w:name="art122%252525252525252525252525252525256"/>
      <w:bookmarkStart w:id="9" w:name="art122%252525252525252525252525252525257"/>
      <w:bookmarkStart w:id="10" w:name="art122%252525252525252525252525252525256"/>
      <w:bookmarkStart w:id="11" w:name="art122%252525252525252525252525252525257"/>
      <w:bookmarkEnd w:id="10"/>
      <w:bookmarkEnd w:id="11"/>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517" w:right="905" w:gutter="0" w:header="227" w:top="851" w:footer="567" w:bottom="851"/>
      <w:pgNumType w:fmt="decimal"/>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Arial">
    <w:charset w:val="00"/>
    <w:family w:val="roman"/>
    <w:pitch w:val="variable"/>
  </w:font>
  <w:font w:name="OpenSymbol">
    <w:altName w:val="Arial Unicode MS"/>
    <w:charset w:val="00"/>
    <w:family w:val="roman"/>
    <w:pitch w:val="variable"/>
  </w:font>
  <w:font w:name="Liberation Mono">
    <w:altName w:val="Courier New"/>
    <w:charset w:val="00"/>
    <w:family w:val="roman"/>
    <w:pitch w:val="variable"/>
  </w:font>
  <w:font w:name="Liberation Sans">
    <w:altName w:val="Arial"/>
    <w:charset w:val="00"/>
    <w:family w:val="roman"/>
    <w:pitch w:val="variable"/>
  </w:font>
  <w:font w:name="Ecofont_Spranq_eco_Sans">
    <w:charset w:val="00"/>
    <w:family w:val="roman"/>
    <w:pitch w:val="variable"/>
  </w:font>
  <w:font w:name="Courier New">
    <w:charset w:val="00"/>
    <w:family w:val="roman"/>
    <w:pitch w:val="variable"/>
  </w:font>
  <w:font w:name="Verdana">
    <w:charset w:val="01"/>
    <w:family w:val="swiss"/>
    <w:pitch w:val="variable"/>
  </w:font>
  <w:font w:name="Verdana">
    <w:charset w:val="00"/>
    <w:family w:val="roman"/>
    <w:pitch w:val="variable"/>
  </w:font>
  <w:font w:name="Arial Narrow">
    <w:charset w:val="00"/>
    <w:family w:val="roman"/>
    <w:pitch w:val="variable"/>
  </w:font>
  <w:font w:name="Tahom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pBdr>
        <w:top w:val="single" w:sz="4" w:space="1" w:color="000000"/>
      </w:pBdr>
      <w:tabs>
        <w:tab w:val="left" w:pos="540" w:leader="none"/>
        <w:tab w:val="center" w:pos="4419" w:leader="none"/>
        <w:tab w:val="center" w:pos="4536" w:leader="none"/>
        <w:tab w:val="right" w:pos="8838" w:leader="none"/>
      </w:tabs>
      <w:jc w:val="center"/>
      <w:rP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Rodap"/>
      <w:pBdr>
        <w:top w:val="single" w:sz="4" w:space="1" w:color="000000"/>
      </w:pBdr>
      <w:jc w:val="center"/>
      <w:rPr>
        <w:rFonts w:ascii="Tahoma" w:hAnsi="Tahoma" w:cs="Tahoma"/>
        <w:sz w:val="16"/>
        <w:szCs w:val="16"/>
      </w:rPr>
    </w:pPr>
    <w:r>
      <w:rPr>
        <w:rStyle w:val="Pagenumber"/>
        <w:rFonts w:cs="Tahoma" w:ascii="Tahoma" w:hAnsi="Tahoma"/>
        <w:sz w:val="16"/>
        <w:szCs w:val="16"/>
      </w:rPr>
      <w:t>Fone/Fax (027) 3727-1366 | E-mail: compras@saogabriel.es.gov.br</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pBdr>
        <w:top w:val="single" w:sz="4" w:space="1" w:color="000000"/>
      </w:pBdr>
      <w:tabs>
        <w:tab w:val="left" w:pos="540" w:leader="none"/>
        <w:tab w:val="center" w:pos="4419" w:leader="none"/>
        <w:tab w:val="center" w:pos="4536" w:leader="none"/>
        <w:tab w:val="right" w:pos="8838" w:leader="none"/>
      </w:tabs>
      <w:jc w:val="center"/>
      <w:rP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Rodap"/>
      <w:pBdr>
        <w:top w:val="single" w:sz="4" w:space="1" w:color="000000"/>
      </w:pBdr>
      <w:jc w:val="center"/>
      <w:rPr>
        <w:rFonts w:ascii="Tahoma" w:hAnsi="Tahoma" w:cs="Tahoma"/>
        <w:sz w:val="16"/>
        <w:szCs w:val="16"/>
      </w:rPr>
    </w:pPr>
    <w:r>
      <w:rPr>
        <w:rStyle w:val="Pagenumber"/>
        <w:rFonts w:cs="Tahoma" w:ascii="Tahoma" w:hAnsi="Tahoma"/>
        <w:sz w:val="16"/>
        <w:szCs w:val="16"/>
      </w:rPr>
      <w:t>Fone/Fax (027) 3727-1366 | E-mail: compras@saogabriel.es.gov.br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17">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br/>
    </w:r>
    <w:r>
      <w:rPr>
        <w:rFonts w:ascii="Arial Narrow" w:hAnsi="Arial Narrow"/>
        <w:b/>
        <w:sz w:val="20"/>
      </w:rPr>
      <w:t>Departamento De Compras e Contratos</w:t>
    </w:r>
  </w:p>
  <w:p>
    <w:pPr>
      <w:pStyle w:val="Normal"/>
      <w:jc w:val="center"/>
      <w:rPr>
        <w:rFonts w:ascii="Arial Narrow" w:hAnsi="Arial Narrow"/>
        <w:b/>
        <w:sz w:val="20"/>
      </w:rPr>
    </w:pPr>
    <w:r>
      <w:rPr>
        <w:rFonts w:ascii="Arial Narrow" w:hAnsi="Arial Narrow"/>
        <w:b/>
        <w:sz w:val="20"/>
      </w:rPr>
    </w:r>
  </w:p>
  <w:p>
    <w:pPr>
      <w:pStyle w:val="Normal"/>
      <w:jc w:val="center"/>
      <w:rPr>
        <w:rFonts w:ascii="Arial Narrow" w:hAnsi="Arial Narrow"/>
        <w:b/>
        <w:sz w:val="20"/>
      </w:rPr>
    </w:pPr>
    <w:r>
      <w:rPr>
        <w:rFonts w:ascii="Arial Narrow" w:hAnsi="Arial Narrow"/>
        <w:b/>
        <w:sz w:val="20"/>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17">
          <wp:simplePos x="0" y="0"/>
          <wp:positionH relativeFrom="column">
            <wp:posOffset>-137160</wp:posOffset>
          </wp:positionH>
          <wp:positionV relativeFrom="paragraph">
            <wp:posOffset>83820</wp:posOffset>
          </wp:positionV>
          <wp:extent cx="647700" cy="542925"/>
          <wp:effectExtent l="0" t="0" r="0" b="0"/>
          <wp:wrapSquare wrapText="bothSides"/>
          <wp:docPr id="2"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br/>
    </w:r>
    <w:r>
      <w:rPr>
        <w:rFonts w:ascii="Arial Narrow" w:hAnsi="Arial Narrow"/>
        <w:b/>
        <w:sz w:val="20"/>
      </w:rPr>
      <w:t>Departamento De Compras e Contratos</w:t>
    </w:r>
  </w:p>
  <w:p>
    <w:pPr>
      <w:pStyle w:val="Normal"/>
      <w:jc w:val="center"/>
      <w:rPr>
        <w:rFonts w:ascii="Arial Narrow" w:hAnsi="Arial Narrow"/>
        <w:b/>
        <w:sz w:val="20"/>
      </w:rPr>
    </w:pPr>
    <w:r>
      <w:rPr>
        <w:rFonts w:ascii="Arial Narrow" w:hAnsi="Arial Narrow"/>
        <w:b/>
        <w:sz w:val="20"/>
      </w:rPr>
    </w:r>
  </w:p>
  <w:p>
    <w:pPr>
      <w:pStyle w:val="Normal"/>
      <w:jc w:val="center"/>
      <w:rPr>
        <w:rFonts w:ascii="Arial Narrow" w:hAnsi="Arial Narrow"/>
        <w:b/>
        <w:sz w:val="20"/>
      </w:rPr>
    </w:pPr>
    <w:r>
      <w:rPr>
        <w:rFonts w:ascii="Arial Narrow" w:hAnsi="Arial Narrow"/>
        <w:b/>
        <w:sz w:val="2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sz w:val="24"/>
        <w:b/>
        <w:szCs w:val="24"/>
        <w:bCs/>
        <w:rFonts w:ascii="Arial" w:hAnsi="Arial"/>
        <w:color w:val="auto"/>
      </w:rPr>
    </w:lvl>
    <w:lvl w:ilvl="1">
      <w:start w:val="4"/>
      <w:numFmt w:val="decimal"/>
      <w:lvlText w:val="%1.%2."/>
      <w:lvlJc w:val="left"/>
      <w:pPr>
        <w:tabs>
          <w:tab w:val="num" w:pos="0"/>
        </w:tabs>
        <w:ind w:left="432" w:hanging="432"/>
      </w:pPr>
      <w:rPr>
        <w:dstrike w:val="false"/>
        <w:strike w:val="false"/>
        <w:i w:val="false"/>
        <w:u w:val="none"/>
        <w:b w:val="false"/>
        <w:effect w:val="none"/>
        <w:color w:val="auto"/>
      </w:rPr>
    </w:lvl>
    <w:lvl w:ilvl="2">
      <w:start w:val="1"/>
      <w:numFmt w:val="decimal"/>
      <w:lvlText w:val="%1.%2.%3."/>
      <w:lvlJc w:val="left"/>
      <w:pPr>
        <w:tabs>
          <w:tab w:val="num" w:pos="0"/>
        </w:tabs>
        <w:ind w:left="1072" w:hanging="504"/>
      </w:pPr>
      <w:rPr>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432" w:hanging="432"/>
      </w:pPr>
      <w:rPr>
        <w:dstrike w:val="false"/>
        <w:strike w:val="false"/>
        <w:sz w:val="24"/>
        <w:i w:val="false"/>
        <w:u w:val="none"/>
        <w:b w:val="false"/>
        <w:effect w:val="none"/>
        <w:szCs w:val="24"/>
        <w:bCs w:val="false"/>
        <w:color w:val="auto"/>
      </w:rPr>
    </w:lvl>
    <w:lvl w:ilvl="2">
      <w:start w:val="1"/>
      <w:numFmt w:val="decimal"/>
      <w:lvlText w:val="%1.%2.%3."/>
      <w:lvlJc w:val="left"/>
      <w:pPr>
        <w:tabs>
          <w:tab w:val="num" w:pos="0"/>
        </w:tabs>
        <w:ind w:left="1072" w:hanging="504"/>
      </w:pPr>
      <w:rPr>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autoHyphenation w:val="true"/>
  <w:hyphenationZone w:val="36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ahoma"/>
        <w:sz w:val="22"/>
        <w:szCs w:val="22"/>
        <w:lang w:val="pt-BR" w:eastAsia="en-US" w:bidi="ar-SA"/>
      </w:rPr>
    </w:rPrDefault>
    <w:pPrDefault>
      <w:pPr>
        <w:suppressAutoHyphens w:val="true"/>
      </w:pPr>
    </w:pPrDefault>
  </w:docDefaults>
  <w:style w:type="paragraph" w:styleId="Normal">
    <w:name w:val="Normal"/>
    <w:qFormat/>
    <w:pPr>
      <w:widowControl/>
      <w:suppressAutoHyphens w:val="true"/>
      <w:overflowPunct w:val="true"/>
      <w:bidi w:val="0"/>
      <w:spacing w:before="0" w:after="0"/>
      <w:jc w:val="left"/>
    </w:pPr>
    <w:rPr>
      <w:rFonts w:ascii="Times New Roman" w:hAnsi="Times New Roman" w:eastAsia="Times New Roman" w:cs="Times New Roman"/>
      <w:color w:val="auto"/>
      <w:kern w:val="0"/>
      <w:sz w:val="24"/>
      <w:szCs w:val="20"/>
      <w:lang w:val="pt-BR" w:eastAsia="pt-BR" w:bidi="ar-SA"/>
    </w:rPr>
  </w:style>
  <w:style w:type="paragraph" w:styleId="Ttulo1">
    <w:name w:val="Heading 1"/>
    <w:basedOn w:val="Normal"/>
    <w:next w:val="Normal"/>
    <w:link w:val="Ttulo1Char"/>
    <w:qFormat/>
    <w:pPr>
      <w:keepNext w:val="true"/>
      <w:keepLines/>
      <w:spacing w:before="480" w:after="0"/>
      <w:outlineLvl w:val="0"/>
    </w:pPr>
    <w:rPr>
      <w:rFonts w:ascii="Cambria" w:hAnsi="Cambria" w:eastAsia="Calibri" w:cs="Tahoma"/>
      <w:b/>
      <w:bCs/>
      <w:color w:val="365F91" w:themeColor="accent1" w:themeShade="bf"/>
      <w:sz w:val="28"/>
      <w:szCs w:val="28"/>
    </w:rPr>
  </w:style>
  <w:style w:type="paragraph" w:styleId="Ttulo2">
    <w:name w:val="Heading 2"/>
    <w:basedOn w:val="LO-normal"/>
    <w:next w:val="LO-normal"/>
    <w:qFormat/>
    <w:pPr>
      <w:keepNext w:val="true"/>
      <w:keepLines/>
      <w:spacing w:lineRule="auto" w:line="360" w:before="240" w:after="240"/>
      <w:jc w:val="both"/>
    </w:pPr>
    <w:rPr>
      <w:b/>
    </w:rPr>
  </w:style>
  <w:style w:type="paragraph" w:styleId="Ttulo3">
    <w:name w:val="Heading 3"/>
    <w:basedOn w:val="LO-normal"/>
    <w:next w:val="LO-normal"/>
    <w:qFormat/>
    <w:pPr>
      <w:keepNext w:val="true"/>
      <w:keepLines/>
    </w:pPr>
    <w:rPr>
      <w:i/>
    </w:rPr>
  </w:style>
  <w:style w:type="character" w:styleId="DefaultParagraphFont">
    <w:name w:val="Default Paragraph Font"/>
    <w:qFormat/>
    <w:rPr/>
  </w:style>
  <w:style w:type="character" w:styleId="Pagenumber">
    <w:name w:val="page number"/>
    <w:basedOn w:val="DefaultParagraphFont"/>
    <w:qFormat/>
    <w:rPr/>
  </w:style>
  <w:style w:type="character" w:styleId="CabealhoChar">
    <w:name w:val="Cabeçalho Char"/>
    <w:basedOn w:val="DefaultParagraphFont"/>
    <w:qFormat/>
    <w:rPr>
      <w:rFonts w:ascii="Times New Roman" w:hAnsi="Times New Roman" w:eastAsia="Times New Roman" w:cs="Times New Roman"/>
      <w:sz w:val="24"/>
      <w:szCs w:val="20"/>
      <w:lang w:eastAsia="pt-BR"/>
    </w:rPr>
  </w:style>
  <w:style w:type="character" w:styleId="RodapChar">
    <w:name w:val="Rodapé Char"/>
    <w:basedOn w:val="DefaultParagraphFont"/>
    <w:qFormat/>
    <w:rPr>
      <w:rFonts w:ascii="Times New Roman" w:hAnsi="Times New Roman" w:eastAsia="Times New Roman" w:cs="Times New Roman"/>
      <w:sz w:val="24"/>
      <w:szCs w:val="20"/>
      <w:lang w:eastAsia="pt-BR"/>
    </w:rPr>
  </w:style>
  <w:style w:type="character" w:styleId="A6">
    <w:name w:val="A6"/>
    <w:qFormat/>
    <w:rPr>
      <w:color w:val="000000"/>
      <w:sz w:val="18"/>
      <w:u w:val="single"/>
    </w:rPr>
  </w:style>
  <w:style w:type="character" w:styleId="LinkdaInternet">
    <w:name w:val="Hyperlink"/>
    <w:qFormat/>
    <w:rPr>
      <w:color w:val="000080"/>
      <w:u w:val="single"/>
    </w:rPr>
  </w:style>
  <w:style w:type="character" w:styleId="CorpodetextoChar">
    <w:name w:val="Corpo de texto Char"/>
    <w:basedOn w:val="DefaultParagraphFont"/>
    <w:qFormat/>
    <w:rPr>
      <w:rFonts w:ascii="Times New Roman" w:hAnsi="Times New Roman" w:eastAsia="Times New Roman" w:cs="Times New Roman"/>
      <w:sz w:val="24"/>
      <w:szCs w:val="20"/>
      <w:lang w:eastAsia="pt-BR"/>
    </w:rPr>
  </w:style>
  <w:style w:type="character" w:styleId="CitaoChar">
    <w:name w:val="Citação Char"/>
    <w:basedOn w:val="DefaultParagraphFont"/>
    <w:qFormat/>
    <w:rPr>
      <w:rFonts w:ascii="Arial" w:hAnsi="Arial" w:eastAsia="Calibri" w:cs="Tahoma"/>
      <w:i/>
      <w:iCs/>
      <w:color w:val="000000"/>
      <w:sz w:val="20"/>
      <w:szCs w:val="24"/>
      <w:shd w:fill="FFFFCC" w:val="clear"/>
    </w:rPr>
  </w:style>
  <w:style w:type="character" w:styleId="Nivel1Char">
    <w:name w:val="Nivel1 Char"/>
    <w:basedOn w:val="DefaultParagraphFont"/>
    <w:link w:val="Nivel1"/>
    <w:qFormat/>
    <w:rPr>
      <w:rFonts w:ascii="Arial" w:hAnsi="Arial" w:eastAsia="Calibri" w:cs="Arial"/>
      <w:b/>
      <w:color w:val="000000"/>
      <w:sz w:val="32"/>
      <w:szCs w:val="32"/>
    </w:rPr>
  </w:style>
  <w:style w:type="character" w:styleId="Nivel2Char">
    <w:name w:val="Nivel 2 Char"/>
    <w:basedOn w:val="DefaultParagraphFont"/>
    <w:link w:val="Nivel2"/>
    <w:qFormat/>
    <w:rPr>
      <w:rFonts w:ascii="Arial" w:hAnsi="Arial" w:cs="Arial"/>
      <w:color w:val="000000"/>
    </w:rPr>
  </w:style>
  <w:style w:type="character" w:styleId="Strong">
    <w:name w:val="Strong"/>
    <w:qFormat/>
    <w:rPr>
      <w:b/>
      <w:bCs/>
    </w:rPr>
  </w:style>
  <w:style w:type="character" w:styleId="Ttulo1Char">
    <w:name w:val="Título 1 Char"/>
    <w:basedOn w:val="DefaultParagraphFont"/>
    <w:qFormat/>
    <w:rPr>
      <w:rFonts w:ascii="Cambria" w:hAnsi="Cambria" w:eastAsia="Calibri" w:cs="Tahoma"/>
      <w:b/>
      <w:bCs/>
      <w:color w:val="365F91" w:themeColor="accent1" w:themeShade="bf"/>
      <w:sz w:val="28"/>
      <w:szCs w:val="28"/>
      <w:lang w:eastAsia="pt-BR"/>
    </w:rPr>
  </w:style>
  <w:style w:type="character" w:styleId="Marcadores">
    <w:name w:val="Marcadores"/>
    <w:qFormat/>
    <w:rPr>
      <w:rFonts w:ascii="OpenSymbol" w:hAnsi="OpenSymbol" w:eastAsia="OpenSymbol" w:cs="OpenSymbol"/>
    </w:rPr>
  </w:style>
  <w:style w:type="character" w:styleId="Linkdainternetvisitado">
    <w:name w:val="FollowedHyperlink"/>
    <w:rPr>
      <w:color w:val="800080"/>
      <w:u w:val="single"/>
    </w:rPr>
  </w:style>
  <w:style w:type="character" w:styleId="WW8Num9z0">
    <w:name w:val="WW8Num9z0"/>
    <w:qFormat/>
    <w:rPr>
      <w:b/>
      <w:bCs/>
    </w:rPr>
  </w:style>
  <w:style w:type="character" w:styleId="WW8Num10z0">
    <w:name w:val="WW8Num10z0"/>
    <w:qFormat/>
    <w:rPr>
      <w:b/>
      <w:bCs/>
    </w:rPr>
  </w:style>
  <w:style w:type="character" w:styleId="Hyperlink1">
    <w:name w:val="Hyperlink1"/>
    <w:qFormat/>
    <w:rPr>
      <w:color w:val="000080"/>
      <w:u w:val="single"/>
    </w:rPr>
  </w:style>
  <w:style w:type="character" w:styleId="Cdigo-fonte">
    <w:name w:val="Código-fonte"/>
    <w:qFormat/>
    <w:rPr>
      <w:rFonts w:ascii="Liberation Mono;Courier New" w:hAnsi="Liberation Mono;Courier New" w:eastAsia="NSimSun" w:cs="Liberation Mono;Courier New"/>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link w:val="CorpodetextoChar"/>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Ttulododocumento">
    <w:name w:val="Title"/>
    <w:basedOn w:val="Normal"/>
    <w:next w:val="Corpodotexto"/>
    <w:qFormat/>
    <w:pPr>
      <w:keepNext w:val="true"/>
      <w:spacing w:before="240" w:after="120"/>
    </w:pPr>
    <w:rPr>
      <w:rFonts w:ascii="Liberation Sans" w:hAnsi="Liberation Sans" w:eastAsia="Microsoft YaHei" w:cs="Lucida Sans"/>
      <w:sz w:val="28"/>
      <w:szCs w:val="28"/>
    </w:rPr>
  </w:style>
  <w:style w:type="paragraph" w:styleId="Caption1">
    <w:name w:val="caption1"/>
    <w:basedOn w:val="Normal"/>
    <w:qFormat/>
    <w:pPr>
      <w:suppressLineNumbers/>
      <w:spacing w:before="120" w:after="120"/>
    </w:pPr>
    <w:rPr>
      <w:rFonts w:cs="Lucida Sans"/>
      <w:i/>
      <w:iCs/>
      <w:szCs w:val="24"/>
    </w:rPr>
  </w:style>
  <w:style w:type="paragraph" w:styleId="CabealhoeRodap">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
    <w:name w:val="Header"/>
    <w:basedOn w:val="Normal"/>
    <w:link w:val="CabealhoChar"/>
    <w:pPr>
      <w:tabs>
        <w:tab w:val="clear" w:pos="708"/>
        <w:tab w:val="center" w:pos="4419" w:leader="none"/>
        <w:tab w:val="right" w:pos="8838" w:leader="none"/>
      </w:tabs>
    </w:pPr>
    <w:rPr/>
  </w:style>
  <w:style w:type="paragraph" w:styleId="Rodap">
    <w:name w:val="Footer"/>
    <w:basedOn w:val="Normal"/>
    <w:link w:val="RodapChar"/>
    <w:pPr>
      <w:tabs>
        <w:tab w:val="clear" w:pos="708"/>
        <w:tab w:val="center" w:pos="4419" w:leader="none"/>
        <w:tab w:val="right" w:pos="8838" w:leader="none"/>
      </w:tabs>
    </w:pPr>
    <w:rPr/>
  </w:style>
  <w:style w:type="paragraph" w:styleId="ListParagraph">
    <w:name w:val="List Paragraph"/>
    <w:basedOn w:val="Normal"/>
    <w:qFormat/>
    <w:pPr>
      <w:spacing w:before="0" w:after="0"/>
      <w:ind w:left="720" w:hanging="0"/>
      <w:contextualSpacing/>
    </w:pPr>
    <w:rPr/>
  </w:style>
  <w:style w:type="paragraph" w:styleId="Tabelanormal1">
    <w:name w:val="Tabela normal1"/>
    <w:qFormat/>
    <w:pPr>
      <w:widowControl/>
      <w:suppressAutoHyphens w:val="true"/>
      <w:overflowPunct w:val="true"/>
      <w:bidi w:val="0"/>
      <w:spacing w:lineRule="auto" w:line="276" w:before="0" w:after="200"/>
      <w:jc w:val="left"/>
    </w:pPr>
    <w:rPr>
      <w:rFonts w:ascii="Times New Roman" w:hAnsi="Times New Roman" w:eastAsia="Tahoma" w:cs="Times New Roman"/>
      <w:color w:val="auto"/>
      <w:kern w:val="0"/>
      <w:sz w:val="20"/>
      <w:szCs w:val="20"/>
      <w:lang w:val="pt-BR" w:eastAsia="pt-BR" w:bidi="ar-SA"/>
    </w:rPr>
  </w:style>
  <w:style w:type="paragraph" w:styleId="Quote">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fill="FFFFCC"/>
      <w:suppressAutoHyphens w:val="false"/>
      <w:spacing w:before="120" w:after="0"/>
      <w:jc w:val="both"/>
    </w:pPr>
    <w:rPr>
      <w:rFonts w:ascii="Arial" w:hAnsi="Arial" w:eastAsia="Calibri" w:cs="Tahoma"/>
      <w:i/>
      <w:iCs/>
      <w:color w:val="000000"/>
      <w:sz w:val="20"/>
      <w:szCs w:val="24"/>
      <w:lang w:eastAsia="en-US"/>
    </w:rPr>
  </w:style>
  <w:style w:type="paragraph" w:styleId="Nivel1">
    <w:name w:val="Nivel1"/>
    <w:basedOn w:val="Ttulo1"/>
    <w:next w:val="Normal"/>
    <w:link w:val="Nivel1Char"/>
    <w:qFormat/>
    <w:pPr>
      <w:suppressAutoHyphens w:val="false"/>
      <w:spacing w:lineRule="auto" w:line="276" w:before="480" w:after="120"/>
      <w:jc w:val="both"/>
      <w:outlineLvl w:val="9"/>
    </w:pPr>
    <w:rPr>
      <w:rFonts w:ascii="Arial" w:hAnsi="Arial" w:cs="Arial"/>
      <w:bCs w:val="false"/>
      <w:color w:val="000000" w:themeColor="accent1" w:themeShade="bf"/>
      <w:sz w:val="32"/>
      <w:szCs w:val="32"/>
      <w:lang w:eastAsia="en-US"/>
    </w:rPr>
  </w:style>
  <w:style w:type="paragraph" w:styleId="Standard">
    <w:name w:val="Standard"/>
    <w:qFormat/>
    <w:pPr>
      <w:widowControl/>
      <w:suppressAutoHyphens w:val="true"/>
      <w:overflowPunct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Citao2">
    <w:name w:val="citação 2"/>
    <w:basedOn w:val="Quote"/>
    <w:qFormat/>
    <w:pPr>
      <w:suppressAutoHyphens w:val="true"/>
    </w:pPr>
    <w:rPr>
      <w:kern w:val="2"/>
      <w:szCs w:val="20"/>
      <w:lang w:eastAsia="zh-CN" w:bidi="hi-IN"/>
    </w:rPr>
  </w:style>
  <w:style w:type="paragraph" w:styleId="Nivel2">
    <w:name w:val="Nivel 2"/>
    <w:basedOn w:val="Normal"/>
    <w:link w:val="Nivel2Char"/>
    <w:qFormat/>
    <w:pPr>
      <w:suppressAutoHyphens w:val="false"/>
      <w:spacing w:lineRule="auto" w:line="276" w:before="120" w:after="120"/>
      <w:jc w:val="both"/>
    </w:pPr>
    <w:rPr>
      <w:rFonts w:ascii="Arial" w:hAnsi="Arial" w:eastAsia="Calibri" w:cs="Arial"/>
      <w:color w:val="000000"/>
      <w:sz w:val="22"/>
      <w:szCs w:val="22"/>
      <w:lang w:eastAsia="en-US"/>
    </w:rPr>
  </w:style>
  <w:style w:type="paragraph" w:styleId="Nivel3">
    <w:name w:val="Nivel 3"/>
    <w:basedOn w:val="ListParagraph"/>
    <w:qFormat/>
    <w:pPr>
      <w:tabs>
        <w:tab w:val="clear" w:pos="708"/>
        <w:tab w:val="left" w:pos="360" w:leader="none"/>
      </w:tabs>
      <w:suppressAutoHyphens w:val="false"/>
      <w:spacing w:lineRule="auto" w:line="276" w:before="120" w:after="120"/>
      <w:ind w:left="425" w:hanging="0"/>
      <w:contextualSpacing/>
      <w:jc w:val="both"/>
    </w:pPr>
    <w:rPr>
      <w:rFonts w:ascii="Arial" w:hAnsi="Arial" w:cs="Arial"/>
      <w:sz w:val="20"/>
    </w:rPr>
  </w:style>
  <w:style w:type="paragraph" w:styleId="TableParagraph">
    <w:name w:val="Table Paragraph"/>
    <w:basedOn w:val="Normal"/>
    <w:qFormat/>
    <w:pPr>
      <w:widowControl w:val="false"/>
      <w:suppressAutoHyphens w:val="false"/>
    </w:pPr>
    <w:rPr>
      <w:rFonts w:ascii="Calibri" w:hAnsi="Calibri" w:eastAsia="Calibri" w:cs="Calibri"/>
      <w:sz w:val="22"/>
      <w:szCs w:val="22"/>
      <w:lang w:val="pt-PT" w:eastAsia="en-US"/>
    </w:rPr>
  </w:style>
  <w:style w:type="paragraph" w:styleId="PADRO">
    <w:name w:val="PADRÃO"/>
    <w:qFormat/>
    <w:pPr>
      <w:keepNext w:val="true"/>
      <w:widowControl w:val="false"/>
      <w:shd w:val="clear" w:fill="FFFFFF"/>
      <w:suppressAutoHyphens w:val="true"/>
      <w:overflowPunct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ontedodatabela">
    <w:name w:val="Conteúdo da tabela"/>
    <w:basedOn w:val="Normal"/>
    <w:qFormat/>
    <w:pPr>
      <w:widowControl w:val="false"/>
      <w:suppressLineNumbers/>
    </w:pPr>
    <w:rPr/>
  </w:style>
  <w:style w:type="paragraph" w:styleId="PargrafodaLista">
    <w:name w:val="Parágrafo da Lista"/>
    <w:basedOn w:val="Normal"/>
    <w:qFormat/>
    <w:pPr>
      <w:spacing w:lineRule="auto" w:line="276" w:before="0" w:after="200"/>
      <w:ind w:left="720" w:hanging="0"/>
      <w:contextualSpacing/>
    </w:pPr>
    <w:rPr>
      <w:rFonts w:ascii="Calibri" w:hAnsi="Calibri" w:eastAsia="Calibri" w:cs="Calibri"/>
      <w:sz w:val="22"/>
      <w:szCs w:val="22"/>
    </w:rPr>
  </w:style>
  <w:style w:type="paragraph" w:styleId="Default">
    <w:name w:val="Default"/>
    <w:qFormat/>
    <w:pPr>
      <w:widowControl/>
      <w:suppressAutoHyphens w:val="true"/>
      <w:overflowPunct w:val="true"/>
      <w:bidi w:val="0"/>
      <w:spacing w:before="0" w:after="0"/>
      <w:jc w:val="left"/>
    </w:pPr>
    <w:rPr>
      <w:rFonts w:ascii="Times New Roman" w:hAnsi="Times New Roman" w:eastAsia="Times New Roman" w:cs="Times New Roman"/>
      <w:color w:val="000000"/>
      <w:kern w:val="0"/>
      <w:sz w:val="24"/>
      <w:szCs w:val="24"/>
      <w:lang w:val="pt-BR" w:eastAsia="zh-CN" w:bidi="ar-SA"/>
    </w:rPr>
  </w:style>
  <w:style w:type="paragraph" w:styleId="Ttulodetabela">
    <w:name w:val="Título de tabela"/>
    <w:basedOn w:val="Contedodatabela"/>
    <w:qFormat/>
    <w:pPr>
      <w:suppressLineNumbers/>
      <w:jc w:val="center"/>
    </w:pPr>
    <w:rPr>
      <w:b/>
      <w:bCs/>
    </w:rPr>
  </w:style>
  <w:style w:type="paragraph" w:styleId="Nivel01">
    <w:name w:val="Nivel 01"/>
    <w:basedOn w:val="Ttulo1"/>
    <w:qFormat/>
    <w:pPr>
      <w:keepNext w:val="true"/>
      <w:keepLines/>
      <w:tabs>
        <w:tab w:val="clear" w:pos="708"/>
        <w:tab w:val="left" w:pos="567" w:leader="none"/>
      </w:tabs>
      <w:spacing w:before="240" w:after="0"/>
      <w:jc w:val="both"/>
      <w:outlineLvl w:val="9"/>
    </w:pPr>
    <w:rPr>
      <w:rFonts w:ascii="Ecofont_Spranq_eco_Sans" w:hAnsi="Ecofont_Spranq_eco_Sans" w:eastAsia="ＭＳ ゴシック" w:cs="Times New Roman"/>
      <w:b/>
      <w:bCs/>
      <w:color w:val="000000" w:themeColor="accent1" w:themeShade="bf"/>
      <w:sz w:val="20"/>
      <w:szCs w:val="20"/>
    </w:rPr>
  </w:style>
  <w:style w:type="paragraph" w:styleId="Caption2">
    <w:name w:val="caption2"/>
    <w:basedOn w:val="Normal"/>
    <w:qFormat/>
    <w:pPr>
      <w:suppressLineNumbers/>
      <w:spacing w:before="120" w:after="120"/>
    </w:pPr>
    <w:rPr>
      <w:rFonts w:cs="Lucida Sans"/>
      <w:i/>
      <w:iCs/>
      <w:szCs w:val="24"/>
    </w:rPr>
  </w:style>
  <w:style w:type="paragraph" w:styleId="Caption3">
    <w:name w:val="caption3"/>
    <w:basedOn w:val="Normal"/>
    <w:qFormat/>
    <w:pPr>
      <w:suppressLineNumbers/>
      <w:spacing w:before="120" w:after="120"/>
    </w:pPr>
    <w:rPr>
      <w:rFonts w:cs="Lucida Sans"/>
      <w:i/>
      <w:iCs/>
      <w:szCs w:val="24"/>
    </w:rPr>
  </w:style>
  <w:style w:type="paragraph" w:styleId="NormalWeb">
    <w:name w:val="Normal (Web)"/>
    <w:basedOn w:val="Normal"/>
    <w:qFormat/>
    <w:pPr>
      <w:spacing w:before="280" w:after="280"/>
    </w:pPr>
    <w:rPr>
      <w:sz w:val="24"/>
      <w:szCs w:val="24"/>
    </w:rPr>
  </w:style>
  <w:style w:type="paragraph" w:styleId="LO-normal">
    <w:name w:val="LO-normal"/>
    <w:qFormat/>
    <w:pPr>
      <w:widowControl/>
      <w:suppressAutoHyphens w:val="true"/>
      <w:bidi w:val="0"/>
      <w:spacing w:lineRule="auto" w:line="360" w:before="240" w:after="240"/>
      <w:jc w:val="both"/>
    </w:pPr>
    <w:rPr>
      <w:rFonts w:ascii="Arial" w:hAnsi="Arial" w:eastAsia="Arial" w:cs="DejaVu Sans" w:asciiTheme="minorHAnsi" w:cstheme="minorBidi" w:eastAsiaTheme="minorHAnsi" w:hAnsiTheme="minorHAnsi"/>
      <w:color w:val="auto"/>
      <w:kern w:val="0"/>
      <w:sz w:val="22"/>
      <w:szCs w:val="22"/>
      <w:lang w:val="pt-BR" w:eastAsia="en-US" w:bidi="ar-SA"/>
    </w:rPr>
  </w:style>
  <w:style w:type="paragraph" w:styleId="WW-Textosimples">
    <w:name w:val="WW-Texto simples"/>
    <w:basedOn w:val="Normal"/>
    <w:qFormat/>
    <w:pPr/>
    <w:rPr>
      <w:rFonts w:ascii="Courier New" w:hAnsi="Courier New" w:cs="Courier New"/>
      <w:sz w:val="20"/>
    </w:rPr>
  </w:style>
  <w:style w:type="paragraph" w:styleId="Contedodoquadro">
    <w:name w:val="Conteúdo do quadro"/>
    <w:basedOn w:val="Normal"/>
    <w:qFormat/>
    <w:pPr/>
    <w:rPr/>
  </w:style>
  <w:style w:type="paragraph" w:styleId="Caption4">
    <w:name w:val="caption4"/>
    <w:basedOn w:val="Normal"/>
    <w:qFormat/>
    <w:pPr>
      <w:suppressLineNumbers/>
      <w:spacing w:before="120" w:after="120"/>
    </w:pPr>
    <w:rPr>
      <w:rFonts w:cs="Lucida Sans"/>
      <w:i/>
      <w:iCs/>
      <w:szCs w:val="24"/>
    </w:rPr>
  </w:style>
  <w:style w:type="paragraph" w:styleId="Textoprformatado">
    <w:name w:val="Texto préformatado"/>
    <w:basedOn w:val="Normal"/>
    <w:qFormat/>
    <w:pPr>
      <w:spacing w:before="0" w:after="0"/>
    </w:pPr>
    <w:rPr>
      <w:rFonts w:ascii="Liberation Mono;Courier New" w:hAnsi="Liberation Mono;Courier New" w:eastAsia="NSimSun" w:cs="Liberation Mono;Courier New"/>
      <w:sz w:val="20"/>
      <w:szCs w:val="20"/>
    </w:rPr>
  </w:style>
  <w:style w:type="numbering" w:styleId="Semlista">
    <w:name w:val="Sem lista"/>
    <w:qFormat/>
  </w:style>
  <w:style w:type="numbering" w:styleId="WW8Num10">
    <w:name w:val="WW8Num10"/>
    <w:qFormat/>
  </w:style>
  <w:style w:type="numbering" w:styleId="WW8Num9">
    <w:name w:val="WW8Num9"/>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licitacao@saogabriel.es.gov.br"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901</TotalTime>
  <Application>LibreOffice/7.5.7.1$Windows_X86_64 LibreOffice_project/47eb0cf7efbacdee9b19ae25d6752381ede23126</Application>
  <AppVersion>15.0000</AppVersion>
  <Pages>16</Pages>
  <Words>8101</Words>
  <Characters>46494</Characters>
  <CharactersWithSpaces>54332</CharactersWithSpaces>
  <Paragraphs>346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Ruth Barbara da Silwa Nascimento</dc:creator>
  <dc:description/>
  <dc:language>pt-BR</dc:language>
  <cp:lastModifiedBy/>
  <cp:lastPrinted>2025-03-27T12:04:13Z</cp:lastPrinted>
  <dcterms:modified xsi:type="dcterms:W3CDTF">2025-08-12T12:55:55Z</dcterms:modified>
  <cp:revision>153</cp:revision>
  <dc:subject/>
  <dc:title/>
</cp:coreProperties>
</file>

<file path=docProps/custom.xml><?xml version="1.0" encoding="utf-8"?>
<Properties xmlns="http://schemas.openxmlformats.org/officeDocument/2006/custom-properties" xmlns:vt="http://schemas.openxmlformats.org/officeDocument/2006/docPropsVTypes"/>
</file>